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4.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Times New Roman" w:hAnsi="Times New Roman"/>
          <w:b/>
          <w:sz w:val="24"/>
        </w:rPr>
      </w:pPr>
      <w:bookmarkStart w:id="0" w:name="_GoBack"/>
      <w:bookmarkEnd w:id="0"/>
      <w:r>
        <w:rPr>
          <w:rFonts w:ascii="Times New Roman" w:hAnsi="Times New Roman"/>
          <w:b/>
          <w:sz w:val="24"/>
        </w:rPr>
        <w:t>ANZ proposal for Initial Provisions and General Definitions Chapter</w:t>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t>CHAPTER [X]</w:t>
      </w:r>
    </w:p>
    <w:p>
      <w:pPr>
        <w:pStyle w:val="Normal"/>
        <w:jc w:val="center"/>
        <w:rPr>
          <w:rFonts w:ascii="Times New Roman" w:hAnsi="Times New Roman"/>
          <w:b/>
          <w:sz w:val="24"/>
        </w:rPr>
      </w:pPr>
      <w:r>
        <w:rPr>
          <w:rFonts w:ascii="Times New Roman" w:hAnsi="Times New Roman"/>
          <w:b/>
          <w:sz w:val="24"/>
        </w:rPr>
        <w:t>INITIAL PROVISIONS AND GENERAL DEFINITIONS</w:t>
      </w:r>
    </w:p>
    <w:p>
      <w:pPr>
        <w:pStyle w:val="Normal"/>
        <w:rPr>
          <w:rFonts w:ascii="Times New Roman" w:hAnsi="Times New Roman"/>
          <w:sz w:val="24"/>
        </w:rPr>
      </w:pPr>
      <w:r>
        <w:rPr>
          <w:rFonts w:ascii="Times New Roman" w:hAnsi="Times New Roman"/>
          <w:sz w:val="24"/>
        </w:rPr>
      </w:r>
    </w:p>
    <w:p>
      <w:pPr>
        <w:pStyle w:val="Normal"/>
        <w:jc w:val="center"/>
        <w:rPr>
          <w:rFonts w:ascii="Times New Roman" w:hAnsi="Times New Roman"/>
          <w:b/>
          <w:sz w:val="24"/>
        </w:rPr>
      </w:pPr>
      <w:r>
        <w:rPr>
          <w:rFonts w:ascii="Times New Roman" w:hAnsi="Times New Roman"/>
          <w:b/>
          <w:sz w:val="24"/>
        </w:rPr>
        <w:t>Article 1: Objectives</w:t>
      </w:r>
    </w:p>
    <w:p>
      <w:pPr>
        <w:pStyle w:val="Normal"/>
        <w:jc w:val="center"/>
        <w:rPr>
          <w:rFonts w:ascii="Times New Roman" w:hAnsi="Times New Roman"/>
          <w:sz w:val="24"/>
        </w:rPr>
      </w:pPr>
      <w:r>
        <w:rPr>
          <w:rFonts w:ascii="Times New Roman" w:hAnsi="Times New Roman"/>
          <w:sz w:val="24"/>
        </w:rPr>
        <w:t>[Text for this Article to be tabled at a later stage of the negotiations]</w:t>
      </w:r>
    </w:p>
    <w:p>
      <w:pPr>
        <w:pStyle w:val="Normal"/>
        <w:rPr>
          <w:rFonts w:ascii="Times New Roman" w:hAnsi="Times New Roman"/>
          <w:sz w:val="24"/>
        </w:rPr>
      </w:pPr>
      <w:r>
        <w:rPr>
          <w:rFonts w:ascii="Times New Roman" w:hAnsi="Times New Roman"/>
          <w:sz w:val="24"/>
        </w:rPr>
      </w:r>
    </w:p>
    <w:p>
      <w:pPr>
        <w:pStyle w:val="Normal"/>
        <w:jc w:val="center"/>
        <w:rPr>
          <w:rFonts w:ascii="Times New Roman" w:hAnsi="Times New Roman"/>
          <w:b/>
          <w:sz w:val="24"/>
        </w:rPr>
      </w:pPr>
      <w:r>
        <w:rPr>
          <w:rFonts w:ascii="Times New Roman" w:hAnsi="Times New Roman"/>
          <w:b/>
          <w:sz w:val="24"/>
        </w:rPr>
        <w:t>Article 2: Establishment of the [PACER Plus Free Trade Area]</w:t>
      </w:r>
    </w:p>
    <w:p>
      <w:pPr>
        <w:pStyle w:val="Normal"/>
        <w:jc w:val="center"/>
        <w:rPr>
          <w:rFonts w:ascii="Times New Roman" w:hAnsi="Times New Roman"/>
          <w:b/>
          <w:sz w:val="24"/>
        </w:rPr>
      </w:pPr>
      <w:r>
        <w:rPr>
          <w:rFonts w:ascii="Times New Roman" w:hAnsi="Times New Roman"/>
          <w:b/>
          <w:sz w:val="24"/>
        </w:rPr>
      </w:r>
    </w:p>
    <w:p>
      <w:pPr>
        <w:pStyle w:val="ListParagraph"/>
        <w:numPr>
          <w:ilvl w:val="0"/>
          <w:numId w:val="2"/>
        </w:numPr>
        <w:tabs>
          <w:tab w:val="left" w:pos="0" w:leader="none"/>
          <w:tab w:val="left" w:pos="567" w:leader="none"/>
        </w:tabs>
        <w:ind w:left="720" w:right="0" w:hanging="360"/>
        <w:jc w:val="both"/>
        <w:rPr>
          <w:rFonts w:ascii="Times New Roman" w:hAnsi="Times New Roman"/>
          <w:sz w:val="24"/>
        </w:rPr>
      </w:pPr>
      <w:r>
        <w:rPr>
          <w:rFonts w:ascii="Times New Roman" w:hAnsi="Times New Roman"/>
          <w:sz w:val="24"/>
        </w:rPr>
        <w:t>Consistent with Article XXIV of GATT 1994 and Article V of GATS, the Parties hereby establish a free trade area in accordance with the provisions of this Agreement.</w:t>
      </w:r>
    </w:p>
    <w:p>
      <w:pPr>
        <w:pStyle w:val="Normal"/>
        <w:rPr>
          <w:rFonts w:ascii="Times New Roman" w:hAnsi="Times New Roman"/>
          <w:sz w:val="24"/>
        </w:rPr>
      </w:pPr>
      <w:r>
        <w:rPr>
          <w:rFonts w:ascii="Times New Roman" w:hAnsi="Times New Roman"/>
          <w:sz w:val="24"/>
        </w:rPr>
      </w:r>
    </w:p>
    <w:p>
      <w:pPr>
        <w:pStyle w:val="Normal"/>
        <w:jc w:val="center"/>
        <w:rPr>
          <w:rFonts w:ascii="Times New Roman" w:hAnsi="Times New Roman"/>
          <w:b/>
          <w:sz w:val="24"/>
        </w:rPr>
      </w:pPr>
      <w:r>
        <w:rPr>
          <w:rFonts w:ascii="Times New Roman" w:hAnsi="Times New Roman"/>
          <w:b/>
          <w:sz w:val="24"/>
        </w:rPr>
        <w:t>Article 3: General Definitions</w:t>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t>For the purposes of this Agreement, unless the context otherwise requires:</w:t>
      </w:r>
    </w:p>
    <w:p>
      <w:pPr>
        <w:pStyle w:val="Normal"/>
        <w:rPr>
          <w:rFonts w:ascii="Times New Roman" w:hAnsi="Times New Roman"/>
          <w:sz w:val="24"/>
        </w:rPr>
      </w:pPr>
      <w:r>
        <w:rPr>
          <w:rFonts w:ascii="Times New Roman" w:hAnsi="Times New Roman"/>
          <w:sz w:val="24"/>
        </w:rPr>
      </w:r>
    </w:p>
    <w:p>
      <w:pPr>
        <w:pStyle w:val="ListParagraph"/>
        <w:numPr>
          <w:ilvl w:val="0"/>
          <w:numId w:val="1"/>
        </w:numPr>
        <w:jc w:val="both"/>
        <w:rPr>
          <w:rFonts w:ascii="Times New Roman" w:hAnsi="Times New Roman"/>
          <w:sz w:val="24"/>
        </w:rPr>
      </w:pPr>
      <w:r>
        <w:rPr>
          <w:rFonts w:ascii="Times New Roman" w:hAnsi="Times New Roman"/>
          <w:b/>
          <w:sz w:val="24"/>
        </w:rPr>
        <w:t xml:space="preserve">Agreement </w:t>
      </w:r>
      <w:r>
        <w:rPr>
          <w:rFonts w:ascii="Times New Roman" w:hAnsi="Times New Roman"/>
          <w:sz w:val="24"/>
        </w:rPr>
        <w:t xml:space="preserve">means the </w:t>
      </w:r>
      <w:r>
        <w:rPr>
          <w:rFonts w:ascii="Times New Roman" w:hAnsi="Times New Roman"/>
          <w:i/>
          <w:sz w:val="24"/>
        </w:rPr>
        <w:t>Agreement Establishing the [PACER Plus Free Trade Area]</w:t>
      </w:r>
      <w:r>
        <w:rPr>
          <w:rFonts w:ascii="Times New Roman" w:hAnsi="Times New Roman"/>
          <w:sz w:val="24"/>
        </w:rPr>
        <w:t>;</w:t>
      </w:r>
    </w:p>
    <w:p>
      <w:pPr>
        <w:pStyle w:val="ListParagraph"/>
        <w:numPr>
          <w:ilvl w:val="0"/>
          <w:numId w:val="1"/>
        </w:numPr>
        <w:jc w:val="both"/>
        <w:rPr>
          <w:rFonts w:ascii="Times New Roman" w:hAnsi="Times New Roman"/>
          <w:sz w:val="24"/>
        </w:rPr>
      </w:pPr>
      <w:r>
        <w:rPr>
          <w:rFonts w:ascii="Times New Roman" w:hAnsi="Times New Roman"/>
          <w:b/>
          <w:sz w:val="24"/>
        </w:rPr>
        <w:t>Agreement on Agriculture</w:t>
      </w:r>
      <w:r>
        <w:rPr>
          <w:rFonts w:ascii="Times New Roman" w:hAnsi="Times New Roman"/>
          <w:sz w:val="24"/>
        </w:rPr>
        <w:t xml:space="preserve"> means the </w:t>
      </w:r>
      <w:r>
        <w:rPr>
          <w:rFonts w:ascii="Times New Roman" w:hAnsi="Times New Roman"/>
          <w:i/>
          <w:sz w:val="24"/>
        </w:rPr>
        <w:t>Agreement on Agriculture</w:t>
      </w:r>
      <w:r>
        <w:rPr>
          <w:rFonts w:ascii="Times New Roman" w:hAnsi="Times New Roman"/>
          <w:sz w:val="24"/>
        </w:rPr>
        <w:t>, in Annex 1A to the WTO Agreement;</w:t>
      </w:r>
    </w:p>
    <w:p>
      <w:pPr>
        <w:pStyle w:val="ListParagraph"/>
        <w:numPr>
          <w:ilvl w:val="0"/>
          <w:numId w:val="1"/>
        </w:numPr>
        <w:jc w:val="both"/>
        <w:rPr>
          <w:rFonts w:ascii="Times New Roman" w:hAnsi="Times New Roman"/>
          <w:sz w:val="24"/>
        </w:rPr>
      </w:pPr>
      <w:r>
        <w:rPr>
          <w:rFonts w:ascii="Times New Roman" w:hAnsi="Times New Roman"/>
          <w:b/>
          <w:sz w:val="24"/>
        </w:rPr>
        <w:t>Agreement on Customs Valuation</w:t>
      </w:r>
      <w:r>
        <w:rPr>
          <w:rFonts w:ascii="Times New Roman" w:hAnsi="Times New Roman"/>
          <w:sz w:val="24"/>
        </w:rPr>
        <w:t xml:space="preserve"> means the </w:t>
      </w:r>
      <w:r>
        <w:rPr>
          <w:rFonts w:ascii="Times New Roman" w:hAnsi="Times New Roman"/>
          <w:i/>
          <w:sz w:val="24"/>
        </w:rPr>
        <w:t>Agreement on Implementation of Article VII of the General Agreement on Tariffs and Trade 1994</w:t>
      </w:r>
      <w:r>
        <w:rPr>
          <w:rFonts w:ascii="Times New Roman" w:hAnsi="Times New Roman"/>
          <w:sz w:val="24"/>
        </w:rPr>
        <w:t>,in Annex 1A to the WTO Agreement;</w:t>
      </w:r>
    </w:p>
    <w:p>
      <w:pPr>
        <w:pStyle w:val="ListParagraph"/>
        <w:numPr>
          <w:ilvl w:val="0"/>
          <w:numId w:val="1"/>
        </w:numPr>
        <w:jc w:val="both"/>
        <w:rPr>
          <w:rFonts w:ascii="Times New Roman" w:hAnsi="Times New Roman"/>
          <w:sz w:val="24"/>
        </w:rPr>
      </w:pPr>
      <w:r>
        <w:rPr>
          <w:rFonts w:ascii="Times New Roman" w:hAnsi="Times New Roman"/>
          <w:b/>
          <w:sz w:val="24"/>
        </w:rPr>
        <w:t>Anti-Dumping Agreement</w:t>
      </w:r>
      <w:r>
        <w:rPr>
          <w:rFonts w:ascii="Times New Roman" w:hAnsi="Times New Roman"/>
          <w:sz w:val="24"/>
        </w:rPr>
        <w:t xml:space="preserve"> means the </w:t>
      </w:r>
      <w:r>
        <w:rPr>
          <w:rFonts w:ascii="Times New Roman" w:hAnsi="Times New Roman"/>
          <w:i/>
          <w:sz w:val="24"/>
        </w:rPr>
        <w:t>Agreement on Implementation of Article VI of the General Agreement on Tariffs and Trade 1994</w:t>
      </w:r>
      <w:r>
        <w:rPr>
          <w:rFonts w:ascii="Times New Roman" w:hAnsi="Times New Roman"/>
          <w:sz w:val="24"/>
        </w:rPr>
        <w:t>, in Annex 1A to the WTO Agreement;</w:t>
      </w:r>
    </w:p>
    <w:p>
      <w:pPr>
        <w:pStyle w:val="ListParagraph"/>
        <w:numPr>
          <w:ilvl w:val="0"/>
          <w:numId w:val="1"/>
        </w:numPr>
        <w:jc w:val="both"/>
        <w:rPr>
          <w:rFonts w:ascii="Times New Roman" w:hAnsi="Times New Roman"/>
          <w:sz w:val="24"/>
        </w:rPr>
      </w:pPr>
      <w:r>
        <w:rPr>
          <w:rFonts w:ascii="Times New Roman" w:hAnsi="Times New Roman"/>
          <w:b/>
          <w:sz w:val="24"/>
        </w:rPr>
        <w:t xml:space="preserve">Customs duty </w:t>
      </w:r>
      <w:r>
        <w:rPr>
          <w:rFonts w:ascii="Times New Roman" w:hAnsi="Times New Roman"/>
          <w:sz w:val="24"/>
          <w:lang w:val="en-AU"/>
        </w:rPr>
        <w:t>means any duty or a charge of any kind, including any tax or surcharge, imposed in connection with the importation of a good, but does not include any</w:t>
      </w:r>
      <w:r>
        <w:rPr>
          <w:rFonts w:ascii="Times New Roman" w:hAnsi="Times New Roman"/>
          <w:sz w:val="24"/>
        </w:rPr>
        <w:t>:</w:t>
      </w:r>
    </w:p>
    <w:p>
      <w:pPr>
        <w:pStyle w:val="ListParagraph"/>
        <w:numPr>
          <w:ilvl w:val="0"/>
          <w:numId w:val="4"/>
        </w:numPr>
        <w:jc w:val="both"/>
        <w:rPr>
          <w:rFonts w:ascii="Times New Roman" w:hAnsi="Times New Roman"/>
          <w:sz w:val="24"/>
        </w:rPr>
      </w:pPr>
      <w:r>
        <w:rPr>
          <w:rFonts w:ascii="Times New Roman" w:hAnsi="Times New Roman"/>
          <w:sz w:val="24"/>
        </w:rPr>
        <w:t>charge equivalent to an internal tax imposed consistently with paragraph 2 of Article III of GATT 1994, in respect of the like domestic product or in respect of an article from which the imported product has been manufactured or produced in whole or in part;</w:t>
      </w:r>
    </w:p>
    <w:p>
      <w:pPr>
        <w:pStyle w:val="ListParagraph"/>
        <w:numPr>
          <w:ilvl w:val="0"/>
          <w:numId w:val="4"/>
        </w:numPr>
        <w:jc w:val="both"/>
        <w:rPr>
          <w:rFonts w:ascii="Times New Roman" w:hAnsi="Times New Roman"/>
          <w:sz w:val="24"/>
        </w:rPr>
      </w:pPr>
      <w:r>
        <w:rPr>
          <w:rFonts w:ascii="Times New Roman" w:hAnsi="Times New Roman"/>
          <w:sz w:val="24"/>
        </w:rPr>
        <w:t>any anti-dumping or countervailing duty applied consistently with the provisions of Article VI of GATT 1994, the WTO Agreement on Implementation of Article VI of the General Agreement on Tariffs and Trade 1994, and the WTO Agreement on Subsidies and Countervailing Measures in Annex 1A to the WTO Agreement; or</w:t>
      </w:r>
    </w:p>
    <w:p>
      <w:pPr>
        <w:pStyle w:val="ListParagraph"/>
        <w:numPr>
          <w:ilvl w:val="0"/>
          <w:numId w:val="4"/>
        </w:numPr>
        <w:jc w:val="both"/>
        <w:rPr>
          <w:rFonts w:ascii="Times New Roman" w:hAnsi="Times New Roman"/>
          <w:sz w:val="24"/>
        </w:rPr>
      </w:pPr>
      <w:r>
        <w:rPr>
          <w:rFonts w:ascii="Times New Roman" w:hAnsi="Times New Roman"/>
          <w:sz w:val="24"/>
        </w:rPr>
        <w:t>fee or any charge commensurate with the cost of services rendered;</w:t>
      </w:r>
    </w:p>
    <w:p>
      <w:pPr>
        <w:pStyle w:val="ListParagraph"/>
        <w:numPr>
          <w:ilvl w:val="0"/>
          <w:numId w:val="1"/>
        </w:numPr>
        <w:jc w:val="both"/>
        <w:rPr>
          <w:rFonts w:ascii="Times New Roman" w:hAnsi="Times New Roman"/>
          <w:sz w:val="24"/>
        </w:rPr>
      </w:pPr>
      <w:r>
        <w:rPr>
          <w:rFonts w:ascii="Times New Roman" w:hAnsi="Times New Roman"/>
          <w:b/>
          <w:sz w:val="24"/>
        </w:rPr>
        <w:t xml:space="preserve">days </w:t>
      </w:r>
      <w:r>
        <w:rPr>
          <w:rFonts w:ascii="Times New Roman" w:hAnsi="Times New Roman"/>
          <w:sz w:val="24"/>
        </w:rPr>
        <w:t>means calendar days, including weekends and holidays;</w:t>
      </w:r>
    </w:p>
    <w:p>
      <w:pPr>
        <w:pStyle w:val="ListParagraph"/>
        <w:numPr>
          <w:ilvl w:val="0"/>
          <w:numId w:val="1"/>
        </w:numPr>
        <w:jc w:val="both"/>
        <w:rPr>
          <w:rFonts w:ascii="Times New Roman" w:hAnsi="Times New Roman"/>
          <w:sz w:val="24"/>
        </w:rPr>
      </w:pPr>
      <w:r>
        <w:rPr>
          <w:rFonts w:ascii="Times New Roman" w:hAnsi="Times New Roman"/>
          <w:b/>
          <w:sz w:val="24"/>
        </w:rPr>
        <w:t>Forum Island Countries</w:t>
      </w:r>
      <w:r>
        <w:rPr>
          <w:rFonts w:ascii="Times New Roman" w:hAnsi="Times New Roman"/>
          <w:sz w:val="24"/>
        </w:rPr>
        <w:t xml:space="preserve"> means the Pacific Island country Parties to this Agreement which are Members of the Pacific Islands Forum, referred to in this Agreement collectively as the Forum Island Countries and individually as a Forum Island Country;</w:t>
      </w:r>
    </w:p>
    <w:p>
      <w:pPr>
        <w:sectPr>
          <w:headerReference w:type="default" r:id="rId2"/>
          <w:headerReference w:type="first" r:id="rId3"/>
          <w:footerReference w:type="default" r:id="rId4"/>
          <w:footerReference w:type="first" r:id="rId5"/>
          <w:type w:val="nextPage"/>
          <w:pgSz w:w="11906" w:h="16838"/>
          <w:pgMar w:left="1418" w:right="1418" w:header="397" w:top="1701" w:footer="397" w:bottom="1701" w:gutter="0"/>
          <w:pgNumType w:fmt="decimal"/>
          <w:formProt w:val="false"/>
          <w:titlePg/>
          <w:textDirection w:val="lrTb"/>
          <w:docGrid w:type="default" w:linePitch="360" w:charSpace="2047"/>
        </w:sectPr>
        <w:pStyle w:val="ListParagraph"/>
        <w:numPr>
          <w:ilvl w:val="0"/>
          <w:numId w:val="1"/>
        </w:numPr>
        <w:jc w:val="both"/>
        <w:rPr>
          <w:rFonts w:ascii="Times New Roman" w:hAnsi="Times New Roman"/>
          <w:sz w:val="24"/>
        </w:rPr>
      </w:pPr>
      <w:r>
        <w:rPr>
          <w:rFonts w:ascii="Times New Roman" w:hAnsi="Times New Roman"/>
          <w:b/>
          <w:sz w:val="24"/>
        </w:rPr>
        <w:t xml:space="preserve">GATS </w:t>
      </w:r>
      <w:r>
        <w:rPr>
          <w:rFonts w:ascii="Times New Roman" w:hAnsi="Times New Roman"/>
          <w:sz w:val="24"/>
        </w:rPr>
        <w:t xml:space="preserve">means the </w:t>
      </w:r>
      <w:r>
        <w:rPr>
          <w:rFonts w:ascii="Times New Roman" w:hAnsi="Times New Roman"/>
          <w:i/>
          <w:sz w:val="24"/>
        </w:rPr>
        <w:t>General Agreement on Trade in Services</w:t>
      </w:r>
      <w:r>
        <w:rPr>
          <w:rFonts w:ascii="Times New Roman" w:hAnsi="Times New Roman"/>
          <w:sz w:val="24"/>
        </w:rPr>
        <w:t>, in Annex 1B to the WTO Agreement;</w:t>
      </w:r>
    </w:p>
    <w:p>
      <w:pPr>
        <w:pStyle w:val="ListParagraph"/>
        <w:numPr>
          <w:ilvl w:val="0"/>
          <w:numId w:val="1"/>
        </w:numPr>
        <w:jc w:val="both"/>
        <w:rPr>
          <w:rFonts w:ascii="Times New Roman" w:hAnsi="Times New Roman"/>
          <w:sz w:val="24"/>
        </w:rPr>
      </w:pPr>
      <w:r>
        <w:rPr>
          <w:rFonts w:ascii="Times New Roman" w:hAnsi="Times New Roman"/>
          <w:b/>
          <w:sz w:val="24"/>
        </w:rPr>
        <w:t>GATT 1994</w:t>
      </w:r>
      <w:r>
        <w:rPr>
          <w:rFonts w:ascii="Times New Roman" w:hAnsi="Times New Roman"/>
          <w:sz w:val="24"/>
        </w:rPr>
        <w:t xml:space="preserve"> means the </w:t>
      </w:r>
      <w:r>
        <w:rPr>
          <w:rFonts w:ascii="Times New Roman" w:hAnsi="Times New Roman"/>
          <w:i/>
          <w:sz w:val="24"/>
        </w:rPr>
        <w:t>General Agreement on Tariffs and Trade 1994</w:t>
      </w:r>
      <w:r>
        <w:rPr>
          <w:rFonts w:ascii="Times New Roman" w:hAnsi="Times New Roman"/>
          <w:sz w:val="24"/>
        </w:rPr>
        <w:t>, in Annex 1A to the WTO Agreement;</w:t>
      </w:r>
    </w:p>
    <w:p>
      <w:pPr>
        <w:pStyle w:val="ListParagraph"/>
        <w:numPr>
          <w:ilvl w:val="0"/>
          <w:numId w:val="1"/>
        </w:numPr>
        <w:jc w:val="both"/>
        <w:rPr>
          <w:rFonts w:ascii="Times New Roman" w:hAnsi="Times New Roman"/>
          <w:sz w:val="24"/>
        </w:rPr>
      </w:pPr>
      <w:r>
        <w:rPr>
          <w:rFonts w:ascii="Times New Roman" w:hAnsi="Times New Roman"/>
          <w:b/>
          <w:sz w:val="24"/>
        </w:rPr>
        <w:t>HS Code</w:t>
      </w:r>
      <w:r>
        <w:rPr>
          <w:rFonts w:ascii="Times New Roman" w:hAnsi="Times New Roman"/>
          <w:sz w:val="24"/>
        </w:rPr>
        <w:t xml:space="preserve"> means the Harmonized Commodity Description and Coding System established by the </w:t>
      </w:r>
      <w:r>
        <w:rPr>
          <w:rFonts w:ascii="Times New Roman" w:hAnsi="Times New Roman"/>
          <w:i/>
          <w:sz w:val="24"/>
        </w:rPr>
        <w:t>International Convention on the Harmonized Description and Coding System</w:t>
      </w:r>
      <w:r>
        <w:rPr>
          <w:rFonts w:ascii="Times New Roman" w:hAnsi="Times New Roman"/>
          <w:sz w:val="24"/>
        </w:rPr>
        <w:t xml:space="preserve"> signed at Brussels on 14 June 1983, as amended;</w:t>
      </w:r>
    </w:p>
    <w:p>
      <w:pPr>
        <w:pStyle w:val="ListParagraph"/>
        <w:numPr>
          <w:ilvl w:val="0"/>
          <w:numId w:val="1"/>
        </w:numPr>
        <w:jc w:val="both"/>
        <w:rPr>
          <w:rFonts w:ascii="Times New Roman" w:hAnsi="Times New Roman"/>
          <w:sz w:val="24"/>
        </w:rPr>
      </w:pPr>
      <w:r>
        <w:rPr>
          <w:rFonts w:ascii="Times New Roman" w:hAnsi="Times New Roman"/>
          <w:b/>
          <w:sz w:val="24"/>
        </w:rPr>
        <w:t>IMF Articles of Agreement</w:t>
      </w:r>
      <w:r>
        <w:rPr>
          <w:rFonts w:ascii="Times New Roman" w:hAnsi="Times New Roman"/>
          <w:sz w:val="24"/>
        </w:rPr>
        <w:t xml:space="preserve"> means the </w:t>
      </w:r>
      <w:r>
        <w:rPr>
          <w:rFonts w:ascii="Times New Roman" w:hAnsi="Times New Roman"/>
          <w:i/>
          <w:sz w:val="24"/>
        </w:rPr>
        <w:t>Articles of Agreement of the International Monetary Fund</w:t>
      </w:r>
      <w:r>
        <w:rPr>
          <w:rFonts w:ascii="Times New Roman" w:hAnsi="Times New Roman"/>
          <w:sz w:val="24"/>
        </w:rPr>
        <w:t>;</w:t>
      </w:r>
    </w:p>
    <w:p>
      <w:pPr>
        <w:pStyle w:val="ListParagraph"/>
        <w:numPr>
          <w:ilvl w:val="0"/>
          <w:numId w:val="1"/>
        </w:numPr>
        <w:jc w:val="both"/>
        <w:rPr>
          <w:rFonts w:ascii="Times New Roman" w:hAnsi="Times New Roman"/>
          <w:sz w:val="24"/>
        </w:rPr>
      </w:pPr>
      <w:r>
        <w:rPr>
          <w:rFonts w:ascii="Times New Roman" w:hAnsi="Times New Roman"/>
          <w:b/>
          <w:sz w:val="24"/>
        </w:rPr>
        <w:t>Joint Committee</w:t>
      </w:r>
      <w:r>
        <w:rPr>
          <w:rFonts w:ascii="Times New Roman" w:hAnsi="Times New Roman"/>
          <w:sz w:val="24"/>
        </w:rPr>
        <w:t xml:space="preserve"> means the [PACER Plus Free Trade Area] Joint Committee established pursuant to Article X (PACER Plus Joint Committee) of Chapter X (Institutional Provisions);</w:t>
      </w:r>
    </w:p>
    <w:p>
      <w:pPr>
        <w:pStyle w:val="ListParagraph"/>
        <w:numPr>
          <w:ilvl w:val="0"/>
          <w:numId w:val="1"/>
        </w:numPr>
        <w:jc w:val="both"/>
        <w:rPr>
          <w:rFonts w:ascii="Times New Roman" w:hAnsi="Times New Roman"/>
          <w:sz w:val="24"/>
        </w:rPr>
      </w:pPr>
      <w:r>
        <w:rPr>
          <w:rFonts w:ascii="Times New Roman" w:hAnsi="Times New Roman"/>
          <w:b/>
          <w:sz w:val="24"/>
        </w:rPr>
        <w:t>Measure</w:t>
      </w:r>
      <w:r>
        <w:rPr>
          <w:rFonts w:ascii="Times New Roman" w:hAnsi="Times New Roman"/>
          <w:sz w:val="24"/>
        </w:rPr>
        <w:t xml:space="preserve"> includes any law, regulation, requirement, or practice;</w:t>
      </w:r>
    </w:p>
    <w:p>
      <w:pPr>
        <w:pStyle w:val="ListParagraph"/>
        <w:numPr>
          <w:ilvl w:val="0"/>
          <w:numId w:val="1"/>
        </w:numPr>
        <w:jc w:val="both"/>
        <w:rPr>
          <w:rFonts w:ascii="Times New Roman" w:hAnsi="Times New Roman"/>
          <w:sz w:val="24"/>
        </w:rPr>
      </w:pPr>
      <w:r>
        <w:rPr>
          <w:rFonts w:ascii="Times New Roman" w:hAnsi="Times New Roman"/>
          <w:b/>
          <w:sz w:val="24"/>
        </w:rPr>
        <w:t>Negotiating Parties</w:t>
      </w:r>
      <w:r>
        <w:rPr>
          <w:rFonts w:ascii="Times New Roman" w:hAnsi="Times New Roman"/>
          <w:sz w:val="24"/>
        </w:rPr>
        <w:t xml:space="preserve"> means [list by name the Parties involved in the negotiations at the conclusion of negotiations], referred to in this Agreement collectively as the Negotiating Parties or individually as a Negotiating Party.</w:t>
      </w:r>
    </w:p>
    <w:p>
      <w:pPr>
        <w:pStyle w:val="ListParagraph"/>
        <w:numPr>
          <w:ilvl w:val="0"/>
          <w:numId w:val="1"/>
        </w:numPr>
        <w:jc w:val="both"/>
        <w:rPr>
          <w:rFonts w:ascii="Times New Roman" w:hAnsi="Times New Roman"/>
          <w:sz w:val="24"/>
        </w:rPr>
      </w:pPr>
      <w:r>
        <w:rPr>
          <w:rFonts w:ascii="Times New Roman" w:hAnsi="Times New Roman"/>
          <w:b/>
          <w:sz w:val="24"/>
        </w:rPr>
        <w:t>Pacific Islands Forum</w:t>
      </w:r>
      <w:r>
        <w:rPr>
          <w:rFonts w:ascii="Times New Roman" w:hAnsi="Times New Roman"/>
          <w:sz w:val="24"/>
        </w:rPr>
        <w:t xml:space="preserve"> means the Pacific Islands Forum, as referred to in the </w:t>
      </w:r>
      <w:r>
        <w:rPr>
          <w:rFonts w:ascii="Times New Roman" w:hAnsi="Times New Roman"/>
          <w:i/>
          <w:sz w:val="24"/>
        </w:rPr>
        <w:t>Agreement Establishing the Pacific Islands Forum Secretariat</w:t>
      </w:r>
      <w:r>
        <w:rPr>
          <w:rFonts w:ascii="Times New Roman" w:hAnsi="Times New Roman"/>
          <w:sz w:val="24"/>
        </w:rPr>
        <w:t>;</w:t>
      </w:r>
    </w:p>
    <w:p>
      <w:pPr>
        <w:pStyle w:val="ListParagraph"/>
        <w:numPr>
          <w:ilvl w:val="0"/>
          <w:numId w:val="3"/>
        </w:numPr>
        <w:jc w:val="both"/>
        <w:rPr>
          <w:rFonts w:ascii="Times New Roman" w:hAnsi="Times New Roman"/>
          <w:sz w:val="24"/>
        </w:rPr>
      </w:pPr>
      <w:r>
        <w:rPr>
          <w:rFonts w:ascii="Times New Roman" w:hAnsi="Times New Roman"/>
          <w:b/>
          <w:sz w:val="24"/>
        </w:rPr>
        <w:t>Party</w:t>
      </w:r>
      <w:r>
        <w:rPr>
          <w:rFonts w:ascii="Times New Roman" w:hAnsi="Times New Roman"/>
          <w:sz w:val="24"/>
        </w:rPr>
        <w:t xml:space="preserve"> means any State or separate customs territory for which this Agreement is in force;</w:t>
      </w:r>
    </w:p>
    <w:p>
      <w:pPr>
        <w:pStyle w:val="ListParagraph"/>
        <w:numPr>
          <w:ilvl w:val="0"/>
          <w:numId w:val="1"/>
        </w:numPr>
        <w:jc w:val="both"/>
        <w:rPr>
          <w:rFonts w:ascii="Times New Roman" w:hAnsi="Times New Roman"/>
          <w:sz w:val="24"/>
        </w:rPr>
      </w:pPr>
      <w:r>
        <w:rPr>
          <w:rFonts w:ascii="Times New Roman" w:hAnsi="Times New Roman"/>
          <w:b/>
          <w:sz w:val="24"/>
        </w:rPr>
        <w:t>SPS Agreement</w:t>
      </w:r>
      <w:r>
        <w:rPr>
          <w:rFonts w:ascii="Times New Roman" w:hAnsi="Times New Roman"/>
          <w:sz w:val="24"/>
        </w:rPr>
        <w:t xml:space="preserve"> means the </w:t>
      </w:r>
      <w:r>
        <w:rPr>
          <w:rFonts w:ascii="Times New Roman" w:hAnsi="Times New Roman"/>
          <w:i/>
          <w:sz w:val="24"/>
        </w:rPr>
        <w:t>Agreement on the Application of Sanitary and Phytosanitary Measures</w:t>
      </w:r>
      <w:r>
        <w:rPr>
          <w:rFonts w:ascii="Times New Roman" w:hAnsi="Times New Roman"/>
          <w:sz w:val="24"/>
        </w:rPr>
        <w:t>, in Annex 1A to the WTO Agreement;</w:t>
      </w:r>
    </w:p>
    <w:p>
      <w:pPr>
        <w:pStyle w:val="ListParagraph"/>
        <w:numPr>
          <w:ilvl w:val="0"/>
          <w:numId w:val="1"/>
        </w:numPr>
        <w:jc w:val="both"/>
        <w:rPr>
          <w:rFonts w:ascii="Times New Roman" w:hAnsi="Times New Roman"/>
          <w:sz w:val="24"/>
        </w:rPr>
      </w:pPr>
      <w:r>
        <w:rPr>
          <w:rFonts w:ascii="Times New Roman" w:hAnsi="Times New Roman"/>
          <w:b/>
          <w:sz w:val="24"/>
        </w:rPr>
        <w:t>TBT Agreement</w:t>
      </w:r>
      <w:r>
        <w:rPr>
          <w:rFonts w:ascii="Times New Roman" w:hAnsi="Times New Roman"/>
          <w:sz w:val="24"/>
        </w:rPr>
        <w:t xml:space="preserve"> means the </w:t>
      </w:r>
      <w:r>
        <w:rPr>
          <w:rFonts w:ascii="Times New Roman" w:hAnsi="Times New Roman"/>
          <w:i/>
          <w:sz w:val="24"/>
        </w:rPr>
        <w:t>Agreement on Technical Barriers to Trade</w:t>
      </w:r>
      <w:r>
        <w:rPr>
          <w:rFonts w:ascii="Times New Roman" w:hAnsi="Times New Roman"/>
          <w:sz w:val="24"/>
        </w:rPr>
        <w:t>, in Annex 1A of the WTO Agreement;</w:t>
      </w:r>
    </w:p>
    <w:p>
      <w:pPr>
        <w:pStyle w:val="ListParagraph"/>
        <w:numPr>
          <w:ilvl w:val="0"/>
          <w:numId w:val="3"/>
        </w:numPr>
        <w:jc w:val="both"/>
        <w:rPr>
          <w:rFonts w:ascii="Times New Roman" w:hAnsi="Times New Roman"/>
          <w:sz w:val="24"/>
        </w:rPr>
      </w:pPr>
      <w:r>
        <w:rPr>
          <w:rFonts w:ascii="Times New Roman" w:hAnsi="Times New Roman"/>
          <w:b/>
          <w:sz w:val="24"/>
        </w:rPr>
        <w:t>WTO Agreement</w:t>
      </w:r>
      <w:r>
        <w:rPr>
          <w:rFonts w:ascii="Times New Roman" w:hAnsi="Times New Roman"/>
          <w:sz w:val="24"/>
        </w:rPr>
        <w:t xml:space="preserve"> means the </w:t>
      </w:r>
      <w:r>
        <w:rPr>
          <w:rFonts w:ascii="Times New Roman" w:hAnsi="Times New Roman"/>
          <w:i/>
          <w:sz w:val="24"/>
        </w:rPr>
        <w:t>Marrakesh Agreement Establishing the World Trade Organization</w:t>
      </w:r>
      <w:r>
        <w:rPr>
          <w:rFonts w:ascii="Times New Roman" w:hAnsi="Times New Roman"/>
          <w:sz w:val="24"/>
        </w:rPr>
        <w:t>, done on 15 April 1994; and</w:t>
      </w:r>
    </w:p>
    <w:p>
      <w:pPr>
        <w:pStyle w:val="ListParagraph"/>
        <w:numPr>
          <w:ilvl w:val="0"/>
          <w:numId w:val="3"/>
        </w:numPr>
        <w:jc w:val="both"/>
        <w:rPr>
          <w:rFonts w:ascii="Times New Roman" w:hAnsi="Times New Roman"/>
          <w:sz w:val="24"/>
        </w:rPr>
      </w:pPr>
      <w:r>
        <w:rPr>
          <w:rFonts w:ascii="Times New Roman" w:hAnsi="Times New Roman"/>
          <w:b/>
          <w:sz w:val="24"/>
        </w:rPr>
        <w:t xml:space="preserve">WTO </w:t>
      </w:r>
      <w:r>
        <w:rPr>
          <w:rFonts w:ascii="Times New Roman" w:hAnsi="Times New Roman"/>
          <w:sz w:val="24"/>
        </w:rPr>
        <w:t>means the World Trade Organization.</w:t>
      </w:r>
    </w:p>
    <w:sectPr>
      <w:headerReference w:type="default" r:id="rId6"/>
      <w:headerReference w:type="first" r:id="rId7"/>
      <w:footerReference w:type="default" r:id="rId8"/>
      <w:footerReference w:type="first" r:id="rId9"/>
      <w:type w:val="nextPage"/>
      <w:pgSz w:w="11906" w:h="16838"/>
      <w:pgMar w:left="1418" w:right="1418" w:header="397" w:top="1701" w:footer="397" w:bottom="1701" w:gutter="0"/>
      <w:pgNumType w:fmt="decimal"/>
      <w:formProt w:val="false"/>
      <w:titlePg/>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Verdana">
    <w:charset w:val="01"/>
    <w:family w:val="swiss"/>
    <w:pitch w:val="default"/>
  </w:font>
  <w:font w:name="Tahoma">
    <w:charset w:val="01"/>
    <w:family w:val="swiss"/>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bookmarkStart w:id="3" w:name="covering_classification_footer2"/>
    <w:bookmarkStart w:id="4" w:name="covering_classification_footer2"/>
    <w:bookmarkEnd w:id="4"/>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sz w:val="20"/>
      </w:rPr>
    </w:pPr>
    <w:r>
      <w:rPr>
        <w:sz w:val="20"/>
      </w:rPr>
    </w:r>
  </w:p>
  <w:p>
    <w:pPr>
      <w:pStyle w:val="Footer"/>
      <w:jc w:val="center"/>
      <w:rPr/>
    </w:pPr>
    <w:bookmarkStart w:id="5" w:name="covering_classification_footer"/>
    <w:bookmarkStart w:id="6" w:name="covering_classification_footer"/>
    <w:bookmarkEnd w:id="6"/>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bookmarkStart w:id="7" w:name="covering_classification_footer2"/>
    <w:bookmarkStart w:id="8" w:name="covering_classification_footer2"/>
    <w:bookmarkEnd w:id="8"/>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pPr>
    <w:r>
      <w:rPr/>
    </w:r>
  </w:p>
  <w:p>
    <w:pPr>
      <w:pStyle w:val="Header"/>
      <w:jc w:val="center"/>
      <w:rPr/>
    </w:pPr>
    <w:r>
      <w:rPr/>
    </w:r>
  </w:p>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ecurityClassification"/>
      <w:rPr/>
    </w:pPr>
    <w:bookmarkStart w:id="1" w:name="covering_classification_header"/>
    <w:bookmarkStart w:id="2" w:name="covering_classification_header"/>
    <w:bookmarkEnd w:id="2"/>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pPr>
    <w:r>
      <w:rPr/>
    </w:r>
  </w:p>
  <w:p>
    <w:pPr>
      <w:pStyle w:val="Header"/>
      <w:jc w:val="center"/>
      <w:rPr/>
    </w:pPr>
    <w:r>
      <w:rPr/>
    </w:r>
  </w:p>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pPr>
    <w:r>
      <w:rPr/>
    </w:r>
  </w:p>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375" w:hanging="37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7"/>
      <w:numFmt w:val="lowerLetter"/>
      <w:lvlText w:val="(%1)"/>
      <w:lvlJc w:val="left"/>
      <w:pPr>
        <w:ind w:left="37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Roman"/>
      <w:lvlText w:val=""/>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en-NZ" w:eastAsia="en-US" w:bidi="ar-SA"/>
      </w:rPr>
    </w:rPrDefault>
    <w:pPrDefault>
      <w:pPr/>
    </w:pPrDefault>
  </w:docDefaults>
  <w:latentStyles w:count="371" w:defQFormat="0" w:defUnhideWhenUsed="0" w:defSemiHidden="0" w:defUIPriority="99" w:defLockedState="0">
    <w:lsdException w:qFormat="1" w:uiPriority="0" w:name="Normal"/>
    <w:lsdException w:qFormat="1" w:uiPriority="3" w:name="heading 1"/>
    <w:lsdException w:qFormat="1" w:semiHidden="1" w:uiPriority="4" w:unhideWhenUsed="1" w:name="heading 2"/>
    <w:lsdException w:qFormat="1" w:semiHidden="1" w:uiPriority="5" w:unhideWhenUsed="1" w:name="heading 3"/>
    <w:lsdException w:semiHidden="1" w:uiPriority="49" w:unhideWhenUsed="1" w:name="heading 4"/>
    <w:lsdException w:semiHidden="1" w:uiPriority="49" w:unhideWhenUsed="1" w:name="heading 5"/>
    <w:lsdException w:qFormat="1" w:semiHidden="1" w:uiPriority="49" w:unhideWhenUsed="1" w:name="heading 6"/>
    <w:lsdException w:qFormat="1" w:semiHidden="1" w:uiPriority="49" w:unhideWhenUsed="1" w:name="heading 7"/>
    <w:lsdException w:qFormat="1" w:semiHidden="1" w:uiPriority="49" w:unhideWhenUsed="1" w:name="heading 8"/>
    <w:lsdException w:qFormat="1" w:semiHidden="1" w:uiPriority="4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qFormat="1" w:semiHidden="1" w:uiPriority="1" w:unhideWhenUsed="1" w:name="Normal Indent"/>
    <w:lsdException w:semiHidden="1" w:unhideWhenUsed="1" w:name="footnote text"/>
    <w:lsdException w:semiHidden="1" w:unhideWhenUsed="1" w:name="annotation text"/>
    <w:lsdException w:qFormat="1" w:semiHidden="1" w:uiPriority="24" w:unhideWhenUsed="1" w:name="header"/>
    <w:lsdException w:qFormat="1" w:semiHidden="1" w:uiPriority="22" w:unhideWhenUsed="1" w:name="footer"/>
    <w:lsdException w:semiHidden="1" w:unhideWhenUsed="1" w:name="index heading"/>
    <w:lsdException w:qFormat="1" w:semiHidden="1" w:uiPriority="20"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iPriority="0"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qFormat="1" w:semiHidden="1" w:uiPriority="49" w:unhideWhenUsed="1" w:name="List Bullet"/>
    <w:lsdException w:qFormat="1" w:semiHidden="1" w:uiPriority="49"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2" w:name="Title"/>
    <w:lsdException w:semiHidden="1" w:unhideWhenUsed="1" w:name="Closing"/>
    <w:lsdException w:semiHidden="1" w:unhideWhenUsed="1" w:name="Signature"/>
    <w:lsdException w:semiHidden="1" w:uiPriority="1" w:unhideWhenUsed="1" w:name="Default Paragraph Font"/>
    <w:lsdException w:qFormat="1" w:semiHidden="1" w:uiPriority="10" w:unhideWhenUsed="1" w:name="Body Text"/>
    <w:lsdException w:qFormat="1" w:semiHidden="1" w:uiPriority="1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uiPriority="49"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qFormat="1" w:semiHidden="1" w:uiPriority="12"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uiPriority="49" w:name="Strong"/>
    <w:lsdException w:uiPriority="49"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uiPriority="49"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uiPriority="29" w:name="Quote"/>
    <w:lsdException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uiPriority="49" w:name="Subtle Emphasis"/>
    <w:lsdException w:uiPriority="49" w:name="Intense Emphasis"/>
    <w:lsdException w:uiPriority="31" w:name="Subtle Reference"/>
    <w:lsdException w:uiPriority="32" w:name="Intense Reference"/>
    <w:lsdException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b37ff1"/>
    <w:pPr>
      <w:widowControl/>
      <w:tabs>
        <w:tab w:val="left" w:pos="567" w:leader="none"/>
      </w:tabs>
      <w:suppressAutoHyphens w:val="true"/>
      <w:bidi w:val="0"/>
      <w:spacing w:lineRule="auto" w:line="288"/>
      <w:jc w:val="left"/>
    </w:pPr>
    <w:rPr>
      <w:rFonts w:ascii="Verdana" w:hAnsi="Verdana" w:eastAsia="Times New Roman" w:cs="Times New Roman"/>
      <w:color w:val="00000A"/>
      <w:sz w:val="20"/>
      <w:szCs w:val="24"/>
      <w:lang w:val="en-NZ" w:eastAsia="en-US" w:bidi="ar-SA"/>
    </w:rPr>
  </w:style>
  <w:style w:type="paragraph" w:styleId="Heading1">
    <w:name w:val="Heading 1"/>
    <w:uiPriority w:val="3"/>
    <w:qFormat/>
    <w:link w:val="Heading1Char"/>
    <w:rsid w:val="00b37ff1"/>
    <w:basedOn w:val="Normal"/>
    <w:next w:val="Normal"/>
    <w:pPr>
      <w:keepNext/>
      <w:pBdr>
        <w:top w:val="nil"/>
        <w:left w:val="nil"/>
        <w:bottom w:val="single" w:sz="4" w:space="1" w:color="808080"/>
        <w:right w:val="nil"/>
      </w:pBdr>
      <w:spacing w:lineRule="auto" w:line="240" w:before="240" w:after="0"/>
      <w:outlineLvl w:val="0"/>
    </w:pPr>
    <w:rPr>
      <w:rFonts w:cs="Arial"/>
      <w:sz w:val="28"/>
      <w:szCs w:val="20"/>
    </w:rPr>
  </w:style>
  <w:style w:type="paragraph" w:styleId="Heading2">
    <w:name w:val="Heading 2"/>
    <w:uiPriority w:val="4"/>
    <w:qFormat/>
    <w:link w:val="Heading2Char"/>
    <w:rsid w:val="00b37ff1"/>
    <w:basedOn w:val="Normal"/>
    <w:next w:val="Normal"/>
    <w:pPr>
      <w:keepNext/>
      <w:spacing w:lineRule="auto" w:line="240" w:before="240" w:after="0"/>
      <w:outlineLvl w:val="1"/>
    </w:pPr>
    <w:rPr>
      <w:rFonts w:cs="Arial"/>
      <w:sz w:val="24"/>
      <w:szCs w:val="22"/>
    </w:rPr>
  </w:style>
  <w:style w:type="paragraph" w:styleId="Heading3">
    <w:name w:val="Heading 3"/>
    <w:uiPriority w:val="5"/>
    <w:qFormat/>
    <w:link w:val="Heading3Char"/>
    <w:rsid w:val="00b37ff1"/>
    <w:basedOn w:val="Normal"/>
    <w:next w:val="Normal"/>
    <w:pPr>
      <w:keepNext/>
      <w:spacing w:before="240" w:after="0"/>
      <w:outlineLvl w:val="2"/>
    </w:pPr>
    <w:rPr>
      <w:rFonts w:cs="Arial"/>
      <w:b/>
      <w:sz w:val="18"/>
    </w:rPr>
  </w:style>
  <w:style w:type="character" w:styleId="DefaultParagraphFont" w:default="1">
    <w:name w:val="Default Paragraph Font"/>
    <w:uiPriority w:val="1"/>
    <w:semiHidden/>
    <w:unhideWhenUsed/>
    <w:rPr/>
  </w:style>
  <w:style w:type="character" w:styleId="BulletPointsChar" w:customStyle="1">
    <w:name w:val="Bullet Points Char"/>
    <w:uiPriority w:val="6"/>
    <w:link w:val="BulletPoints"/>
    <w:rsid w:val="00f06d90"/>
    <w:rPr>
      <w:rFonts w:ascii="Verdana" w:hAnsi="Verdana"/>
    </w:rPr>
  </w:style>
  <w:style w:type="character" w:styleId="NumberChar" w:customStyle="1">
    <w:name w:val="Number Char"/>
    <w:uiPriority w:val="25"/>
    <w:link w:val="Number"/>
    <w:rsid w:val="00f06d90"/>
    <w:rPr>
      <w:rFonts w:ascii="Verdana" w:hAnsi="Verdana"/>
    </w:rPr>
  </w:style>
  <w:style w:type="character" w:styleId="Heading1Char" w:customStyle="1">
    <w:name w:val="Heading 1 Char"/>
    <w:uiPriority w:val="3"/>
    <w:link w:val="Heading1"/>
    <w:rsid w:val="00b37ff1"/>
    <w:basedOn w:val="DefaultParagraphFont"/>
    <w:rPr>
      <w:rFonts w:ascii="Verdana" w:hAnsi="Verdana" w:cs="Arial"/>
      <w:sz w:val="28"/>
    </w:rPr>
  </w:style>
  <w:style w:type="character" w:styleId="Heading2Char" w:customStyle="1">
    <w:name w:val="Heading 2 Char"/>
    <w:uiPriority w:val="4"/>
    <w:link w:val="Heading2"/>
    <w:rsid w:val="00b37ff1"/>
    <w:basedOn w:val="DefaultParagraphFont"/>
    <w:rPr>
      <w:rFonts w:ascii="Verdana" w:hAnsi="Verdana" w:cs="Arial"/>
      <w:sz w:val="24"/>
      <w:szCs w:val="22"/>
    </w:rPr>
  </w:style>
  <w:style w:type="character" w:styleId="Heading3Char" w:customStyle="1">
    <w:name w:val="Heading 3 Char"/>
    <w:uiPriority w:val="5"/>
    <w:link w:val="Heading3"/>
    <w:rsid w:val="00b37ff1"/>
    <w:basedOn w:val="DefaultParagraphFont"/>
    <w:rPr>
      <w:rFonts w:ascii="Verdana" w:hAnsi="Verdana" w:cs="Arial"/>
      <w:b/>
      <w:sz w:val="18"/>
      <w:szCs w:val="24"/>
    </w:rPr>
  </w:style>
  <w:style w:type="character" w:styleId="HeaderChar" w:customStyle="1">
    <w:name w:val="Header Char"/>
    <w:uiPriority w:val="24"/>
    <w:link w:val="Header"/>
    <w:rsid w:val="00b37ff1"/>
    <w:basedOn w:val="DefaultParagraphFont"/>
    <w:rPr>
      <w:rFonts w:ascii="Verdana" w:hAnsi="Verdana"/>
      <w:sz w:val="18"/>
      <w:szCs w:val="24"/>
    </w:rPr>
  </w:style>
  <w:style w:type="character" w:styleId="FooterChar" w:customStyle="1">
    <w:name w:val="Footer Char"/>
    <w:uiPriority w:val="22"/>
    <w:link w:val="Footer"/>
    <w:rsid w:val="00b37ff1"/>
    <w:basedOn w:val="DefaultParagraphFont"/>
    <w:rPr>
      <w:rFonts w:ascii="Verdana" w:hAnsi="Verdana" w:cs="Arial"/>
      <w:sz w:val="18"/>
      <w:szCs w:val="12"/>
    </w:rPr>
  </w:style>
  <w:style w:type="character" w:styleId="TitleChar" w:customStyle="1">
    <w:name w:val="Title Char"/>
    <w:uiPriority w:val="2"/>
    <w:link w:val="Title"/>
    <w:rsid w:val="00b37ff1"/>
    <w:basedOn w:val="DefaultParagraphFont"/>
    <w:rPr>
      <w:rFonts w:ascii="Verdana" w:hAnsi="Verdana" w:cs="Arial"/>
      <w:bCs/>
      <w:sz w:val="32"/>
      <w:szCs w:val="32"/>
    </w:rPr>
  </w:style>
  <w:style w:type="character" w:styleId="BodyTextChar" w:customStyle="1">
    <w:name w:val="Body Text Char"/>
    <w:uiPriority w:val="10"/>
    <w:link w:val="BodyText"/>
    <w:rsid w:val="00b37ff1"/>
    <w:basedOn w:val="DefaultParagraphFont"/>
    <w:rPr>
      <w:rFonts w:ascii="Verdana" w:hAnsi="Verdana"/>
      <w:szCs w:val="24"/>
    </w:rPr>
  </w:style>
  <w:style w:type="character" w:styleId="BodyTextIndentChar" w:customStyle="1">
    <w:name w:val="Body Text Indent Char"/>
    <w:uiPriority w:val="11"/>
    <w:link w:val="BodyTextIndent"/>
    <w:rsid w:val="00b37ff1"/>
    <w:basedOn w:val="DefaultParagraphFont"/>
    <w:rPr>
      <w:rFonts w:ascii="Verdana" w:hAnsi="Verdana"/>
      <w:szCs w:val="24"/>
    </w:rPr>
  </w:style>
  <w:style w:type="character" w:styleId="BodyTextIndent2Char" w:customStyle="1">
    <w:name w:val="Body Text Indent 2 Char"/>
    <w:uiPriority w:val="12"/>
    <w:link w:val="BodyTextIndent2"/>
    <w:rsid w:val="00b37ff1"/>
    <w:basedOn w:val="DefaultParagraphFont"/>
    <w:rPr>
      <w:rFonts w:ascii="Verdana" w:hAnsi="Verdana"/>
      <w:szCs w:val="24"/>
    </w:rPr>
  </w:style>
  <w:style w:type="character" w:styleId="Pagenumber">
    <w:name w:val="page number"/>
    <w:uiPriority w:val="49"/>
    <w:rsid w:val="00ce1aa0"/>
    <w:rPr>
      <w:rFonts w:ascii="Verdana" w:hAnsi="Verdana"/>
      <w:sz w:val="18"/>
      <w:lang w:val="en-US"/>
    </w:rPr>
  </w:style>
  <w:style w:type="character" w:styleId="BulletPointsMFATChar" w:customStyle="1">
    <w:name w:val="Bullet Points MFAT Char"/>
    <w:uiPriority w:val="6"/>
    <w:link w:val="BulletPointsMFAT"/>
    <w:rsid w:val="00b37ff1"/>
    <w:rPr>
      <w:rFonts w:ascii="Verdana" w:hAnsi="Verdana"/>
    </w:rPr>
  </w:style>
  <w:style w:type="character" w:styleId="NumberMFATChar" w:customStyle="1">
    <w:name w:val="Number MFAT Char"/>
    <w:uiPriority w:val="25"/>
    <w:link w:val="NumberMFAT"/>
    <w:rsid w:val="00b37ff1"/>
    <w:rPr>
      <w:rFonts w:ascii="Verdana" w:hAnsi="Verdana"/>
    </w:rPr>
  </w:style>
  <w:style w:type="character" w:styleId="Annotationreference">
    <w:name w:val="annotation reference"/>
    <w:uiPriority w:val="99"/>
    <w:semiHidden/>
    <w:unhideWhenUsed/>
    <w:rsid w:val="0073227e"/>
    <w:basedOn w:val="DefaultParagraphFont"/>
    <w:rPr>
      <w:sz w:val="16"/>
      <w:szCs w:val="16"/>
    </w:rPr>
  </w:style>
  <w:style w:type="character" w:styleId="CommentTextChar" w:customStyle="1">
    <w:name w:val="Comment Text Char"/>
    <w:uiPriority w:val="99"/>
    <w:semiHidden/>
    <w:link w:val="CommentText"/>
    <w:rsid w:val="0073227e"/>
    <w:basedOn w:val="DefaultParagraphFont"/>
    <w:rPr>
      <w:rFonts w:ascii="Verdana" w:hAnsi="Verdana"/>
    </w:rPr>
  </w:style>
  <w:style w:type="character" w:styleId="CommentSubjectChar" w:customStyle="1">
    <w:name w:val="Comment Subject Char"/>
    <w:uiPriority w:val="99"/>
    <w:semiHidden/>
    <w:link w:val="CommentSubject"/>
    <w:rsid w:val="0073227e"/>
    <w:basedOn w:val="CommentTextChar"/>
    <w:rPr>
      <w:rFonts w:ascii="Verdana" w:hAnsi="Verdana"/>
      <w:b/>
      <w:bCs/>
    </w:rPr>
  </w:style>
  <w:style w:type="character" w:styleId="BalloonTextChar" w:customStyle="1">
    <w:name w:val="Balloon Text Char"/>
    <w:uiPriority w:val="99"/>
    <w:semiHidden/>
    <w:link w:val="BalloonText"/>
    <w:rsid w:val="0073227e"/>
    <w:basedOn w:val="DefaultParagraphFont"/>
    <w:rPr>
      <w:rFonts w:ascii="Tahoma" w:hAnsi="Tahoma" w:cs="Tahoma"/>
      <w:sz w:val="16"/>
      <w:szCs w:val="16"/>
    </w:rPr>
  </w:style>
  <w:style w:type="character" w:styleId="ListLabel1">
    <w:name w:val="ListLabel 1"/>
    <w:rPr>
      <w:b w:val="false"/>
      <w:i w:val="false"/>
      <w:color w:val="999999"/>
      <w:sz w:val="20"/>
    </w:rPr>
  </w:style>
  <w:style w:type="character" w:styleId="ListLabel2">
    <w:name w:val="ListLabel 2"/>
    <w:rPr>
      <w:rFonts w:cs="Courier New"/>
    </w:rPr>
  </w:style>
  <w:style w:type="character" w:styleId="ListLabel3">
    <w:name w:val="ListLabel 3"/>
    <w:rPr>
      <w:color w:val="A6A6A6"/>
    </w:rPr>
  </w:style>
  <w:style w:type="character" w:styleId="ListLabel4">
    <w:name w:val="ListLabel 4"/>
    <w:rPr>
      <w:color w:val="00000A"/>
    </w:rPr>
  </w:style>
  <w:style w:type="character" w:styleId="ListLabel5">
    <w:name w:val="ListLabel 5"/>
    <w:rPr>
      <w:b w:val="false"/>
      <w:i w:val="false"/>
      <w:caps w:val="false"/>
      <w:smallCaps w:val="false"/>
      <w:strike w:val="false"/>
      <w:dstrike w:val="false"/>
      <w:vanish w:val="false"/>
      <w:color w:val="333333"/>
      <w:position w:val="0"/>
      <w:sz w:val="20"/>
      <w:sz w:val="20"/>
      <w:vertAlign w:val="baseline"/>
    </w:rPr>
  </w:style>
  <w:style w:type="character" w:styleId="ListLabel6">
    <w:name w:val="ListLabel 6"/>
    <w:rPr>
      <w:b w:val="false"/>
      <w:i w:val="false"/>
      <w:caps w:val="false"/>
      <w:smallCaps w:val="false"/>
      <w:strike w:val="false"/>
      <w:dstrike w:val="false"/>
      <w:vanish w:val="false"/>
      <w:color w:val="000000"/>
      <w:position w:val="0"/>
      <w:sz w:val="16"/>
      <w:sz w:val="16"/>
      <w:vertAlign w:val="baseline"/>
    </w:rPr>
  </w:style>
  <w:style w:type="character" w:styleId="ListLabel7">
    <w:name w:val="ListLabel 7"/>
    <w:rPr>
      <w:b w:val="false"/>
      <w:i w:val="false"/>
      <w:sz w:val="16"/>
    </w:rPr>
  </w:style>
  <w:style w:type="character" w:styleId="ListLabel8">
    <w:name w:val="ListLabel 8"/>
    <w:rPr>
      <w:b w:val="false"/>
      <w:i w:val="false"/>
      <w:color w:val="000000"/>
      <w:sz w:val="20"/>
    </w:rPr>
  </w:style>
  <w:style w:type="character" w:styleId="ListLabel9">
    <w:name w:val="ListLabel 9"/>
    <w:rPr>
      <w:rFonts w:eastAsia="Times New Roman" w:cs="Times New Roman"/>
    </w:rPr>
  </w:style>
  <w:style w:type="character" w:styleId="ListLabel10">
    <w:name w:val="ListLabel 10"/>
    <w:rPr>
      <w:rFonts w:cs="Symbol"/>
      <w:b w:val="false"/>
      <w:i w:val="false"/>
      <w:color w:val="999999"/>
      <w:sz w:val="20"/>
    </w:rPr>
  </w:style>
  <w:style w:type="character" w:styleId="ListLabel11">
    <w:name w:val="ListLabel 11"/>
    <w:rPr>
      <w:rFonts w:cs="Courier New"/>
    </w:rPr>
  </w:style>
  <w:style w:type="character" w:styleId="ListLabel12">
    <w:name w:val="ListLabel 12"/>
    <w:rPr>
      <w:rFonts w:cs="Wingdings"/>
    </w:rPr>
  </w:style>
  <w:style w:type="character" w:styleId="ListLabel13">
    <w:name w:val="ListLabel 13"/>
    <w:rPr>
      <w:rFonts w:cs="Symbol"/>
    </w:rPr>
  </w:style>
  <w:style w:type="character" w:styleId="ListLabel14">
    <w:name w:val="ListLabel 14"/>
    <w:rPr>
      <w:rFonts w:cs="Symbol"/>
      <w:color w:val="A6A6A6"/>
    </w:rPr>
  </w:style>
  <w:style w:type="character" w:styleId="ListLabel15">
    <w:name w:val="ListLabel 15"/>
    <w:rPr>
      <w:rFonts w:cs="Symbol"/>
      <w:color w:val="00000A"/>
    </w:rPr>
  </w:style>
  <w:style w:type="character" w:styleId="ListLabel16">
    <w:name w:val="ListLabel 16"/>
    <w:rPr>
      <w:rFonts w:cs="Symbol"/>
      <w:b w:val="false"/>
      <w:i w:val="false"/>
      <w:caps w:val="false"/>
      <w:smallCaps w:val="false"/>
      <w:strike w:val="false"/>
      <w:dstrike w:val="false"/>
      <w:vanish w:val="false"/>
      <w:color w:val="333333"/>
      <w:position w:val="0"/>
      <w:sz w:val="20"/>
      <w:sz w:val="20"/>
      <w:vertAlign w:val="baseline"/>
    </w:rPr>
  </w:style>
  <w:style w:type="character" w:styleId="ListLabel17">
    <w:name w:val="ListLabel 17"/>
    <w:rPr>
      <w:rFonts w:cs="Symbol"/>
      <w:b w:val="false"/>
      <w:i w:val="false"/>
      <w:caps w:val="false"/>
      <w:smallCaps w:val="false"/>
      <w:strike w:val="false"/>
      <w:dstrike w:val="false"/>
      <w:vanish w:val="false"/>
      <w:color w:val="000000"/>
      <w:position w:val="0"/>
      <w:sz w:val="16"/>
      <w:sz w:val="16"/>
      <w:vertAlign w:val="baseline"/>
    </w:rPr>
  </w:style>
  <w:style w:type="character" w:styleId="ListLabel18">
    <w:name w:val="ListLabel 18"/>
    <w:rPr>
      <w:rFonts w:cs="Symbol"/>
      <w:b w:val="false"/>
      <w:i w:val="false"/>
      <w:sz w:val="16"/>
    </w:rPr>
  </w:style>
  <w:style w:type="character" w:styleId="ListLabel19">
    <w:name w:val="ListLabel 19"/>
    <w:rPr>
      <w:rFonts w:cs="Symbol"/>
      <w:b w:val="false"/>
      <w:i w:val="false"/>
      <w:color w:val="000000"/>
      <w:sz w:val="20"/>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uiPriority w:val="10"/>
    <w:qFormat/>
    <w:link w:val="BodyTextChar"/>
    <w:rsid w:val="00b37ff1"/>
    <w:basedOn w:val="Normal"/>
    <w:pPr>
      <w:spacing w:lineRule="auto" w:line="288" w:before="240" w:after="0"/>
      <w:jc w:val="both"/>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BulletPoints" w:customStyle="1">
    <w:name w:val="Bullet Points"/>
    <w:uiPriority w:val="6"/>
    <w:link w:val="BulletPointsChar"/>
    <w:rsid w:val="008a31f0"/>
    <w:basedOn w:val="Normal"/>
    <w:pPr>
      <w:overflowPunct w:val="false"/>
      <w:spacing w:before="120" w:after="0"/>
      <w:ind w:left="567" w:right="0" w:hanging="567"/>
      <w:textAlignment w:val="baseline"/>
    </w:pPr>
    <w:rPr>
      <w:szCs w:val="20"/>
    </w:rPr>
  </w:style>
  <w:style w:type="paragraph" w:styleId="DocumentID" w:customStyle="1">
    <w:name w:val="Document ID"/>
    <w:uiPriority w:val="21"/>
    <w:rsid w:val="008a31f0"/>
    <w:basedOn w:val="Normal"/>
    <w:pPr/>
    <w:rPr>
      <w:rFonts w:cs="Arial"/>
      <w:sz w:val="14"/>
    </w:rPr>
  </w:style>
  <w:style w:type="paragraph" w:styleId="BulletPoints2" w:customStyle="1">
    <w:name w:val="Bullet Points 2"/>
    <w:uiPriority w:val="8"/>
    <w:rsid w:val="00631640"/>
    <w:basedOn w:val="Normal"/>
    <w:pPr>
      <w:spacing w:before="60" w:after="0"/>
    </w:pPr>
    <w:rPr/>
  </w:style>
  <w:style w:type="paragraph" w:styleId="Tableheading" w:customStyle="1">
    <w:name w:val="Table heading"/>
    <w:uiPriority w:val="15"/>
    <w:rsid w:val="008a31f0"/>
    <w:basedOn w:val="Normal"/>
    <w:next w:val="Normal"/>
    <w:pPr>
      <w:spacing w:lineRule="auto" w:line="240"/>
    </w:pPr>
    <w:rPr>
      <w:caps/>
      <w:sz w:val="16"/>
    </w:rPr>
  </w:style>
  <w:style w:type="paragraph" w:styleId="Tabletext" w:customStyle="1">
    <w:name w:val="Table text"/>
    <w:uiPriority w:val="16"/>
    <w:rsid w:val="008a31f0"/>
    <w:basedOn w:val="Normal"/>
    <w:pPr>
      <w:spacing w:lineRule="auto" w:line="240"/>
    </w:pPr>
    <w:rPr>
      <w:sz w:val="18"/>
    </w:rPr>
  </w:style>
  <w:style w:type="paragraph" w:styleId="PageNumbers" w:customStyle="1">
    <w:name w:val="Page Numbers"/>
    <w:uiPriority w:val="26"/>
    <w:rsid w:val="008a31f0"/>
    <w:basedOn w:val="Normal"/>
    <w:pPr>
      <w:spacing w:lineRule="auto" w:line="240"/>
      <w:jc w:val="center"/>
    </w:pPr>
    <w:rPr>
      <w:sz w:val="18"/>
    </w:rPr>
  </w:style>
  <w:style w:type="paragraph" w:styleId="Contents1" w:customStyle="1">
    <w:name w:val="Contents 1"/>
    <w:uiPriority w:val="17"/>
    <w:rsid w:val="008a31f0"/>
    <w:basedOn w:val="Normal"/>
    <w:pPr>
      <w:spacing w:lineRule="auto" w:line="240" w:before="180" w:after="0"/>
    </w:pPr>
    <w:rPr/>
  </w:style>
  <w:style w:type="paragraph" w:styleId="Contents2" w:customStyle="1">
    <w:name w:val="Contents 2"/>
    <w:uiPriority w:val="18"/>
    <w:rsid w:val="008a31f0"/>
    <w:basedOn w:val="Normal"/>
    <w:pPr>
      <w:spacing w:lineRule="auto" w:line="240" w:before="120" w:after="0"/>
      <w:ind w:left="284" w:right="0" w:hanging="0"/>
    </w:pPr>
    <w:rPr>
      <w:sz w:val="18"/>
    </w:rPr>
  </w:style>
  <w:style w:type="paragraph" w:styleId="Contents3" w:customStyle="1">
    <w:name w:val="Contents 3"/>
    <w:uiPriority w:val="19"/>
    <w:rsid w:val="008a31f0"/>
    <w:basedOn w:val="Normal"/>
    <w:pPr>
      <w:spacing w:lineRule="auto" w:line="240" w:before="60" w:after="0"/>
      <w:ind w:left="567" w:right="0" w:hanging="0"/>
    </w:pPr>
    <w:rPr>
      <w:sz w:val="18"/>
    </w:rPr>
  </w:style>
  <w:style w:type="paragraph" w:styleId="Footnote" w:customStyle="1">
    <w:name w:val="Footnote"/>
    <w:uiPriority w:val="23"/>
    <w:rsid w:val="008a31f0"/>
    <w:basedOn w:val="Normal"/>
    <w:pPr>
      <w:spacing w:before="120" w:after="0"/>
    </w:pPr>
    <w:rPr>
      <w:sz w:val="16"/>
    </w:rPr>
  </w:style>
  <w:style w:type="paragraph" w:styleId="SecurityClassification" w:customStyle="1">
    <w:name w:val="Security Classification"/>
    <w:uiPriority w:val="27"/>
    <w:rsid w:val="008a31f0"/>
    <w:basedOn w:val="Normal"/>
    <w:next w:val="Normal"/>
    <w:pPr>
      <w:jc w:val="center"/>
    </w:pPr>
    <w:rPr>
      <w:rFonts w:cs="Arial"/>
      <w:bCs/>
      <w:caps/>
      <w:szCs w:val="20"/>
    </w:rPr>
  </w:style>
  <w:style w:type="paragraph" w:styleId="Bulletpointsindent" w:customStyle="1">
    <w:name w:val="Bullet points indent"/>
    <w:uiPriority w:val="7"/>
    <w:rsid w:val="00631640"/>
    <w:basedOn w:val="BulletPoints"/>
    <w:pPr/>
    <w:rPr/>
  </w:style>
  <w:style w:type="paragraph" w:styleId="Number" w:customStyle="1">
    <w:name w:val="Number"/>
    <w:uiPriority w:val="25"/>
    <w:link w:val="NumberChar"/>
    <w:rsid w:val="008a31f0"/>
    <w:pPr>
      <w:widowControl/>
      <w:suppressAutoHyphens w:val="true"/>
      <w:bidi w:val="0"/>
      <w:spacing w:lineRule="auto" w:line="288" w:before="120" w:after="120"/>
      <w:jc w:val="left"/>
    </w:pPr>
    <w:rPr>
      <w:rFonts w:ascii="Verdana" w:hAnsi="Verdana" w:eastAsia="Times New Roman" w:cs="Times New Roman"/>
      <w:color w:val="00000A"/>
      <w:sz w:val="20"/>
      <w:szCs w:val="20"/>
      <w:lang w:val="en-NZ" w:eastAsia="en-US" w:bidi="ar-SA"/>
    </w:rPr>
  </w:style>
  <w:style w:type="paragraph" w:styleId="NormalIndent">
    <w:name w:val="Normal Indent"/>
    <w:uiPriority w:val="1"/>
    <w:qFormat/>
    <w:rsid w:val="00b37ff1"/>
    <w:basedOn w:val="Normal"/>
    <w:pPr>
      <w:overflowPunct w:val="false"/>
      <w:ind w:left="567" w:right="0" w:hanging="0"/>
      <w:jc w:val="both"/>
      <w:textAlignment w:val="baseline"/>
    </w:pPr>
    <w:rPr>
      <w:szCs w:val="20"/>
    </w:rPr>
  </w:style>
  <w:style w:type="paragraph" w:styleId="Header">
    <w:name w:val="Header"/>
    <w:uiPriority w:val="24"/>
    <w:qFormat/>
    <w:link w:val="HeaderChar"/>
    <w:rsid w:val="00b37ff1"/>
    <w:basedOn w:val="Normal"/>
    <w:pPr/>
    <w:rPr>
      <w:sz w:val="18"/>
    </w:rPr>
  </w:style>
  <w:style w:type="paragraph" w:styleId="Footer">
    <w:name w:val="Footer"/>
    <w:uiPriority w:val="22"/>
    <w:qFormat/>
    <w:link w:val="FooterChar"/>
    <w:rsid w:val="00b37ff1"/>
    <w:basedOn w:val="Normal"/>
    <w:pPr/>
    <w:rPr>
      <w:rFonts w:cs="Arial"/>
      <w:sz w:val="18"/>
      <w:szCs w:val="12"/>
    </w:rPr>
  </w:style>
  <w:style w:type="paragraph" w:styleId="Caption1">
    <w:name w:val="caption"/>
    <w:uiPriority w:val="20"/>
    <w:qFormat/>
    <w:rsid w:val="00b37ff1"/>
    <w:basedOn w:val="Normal"/>
    <w:next w:val="Normal"/>
    <w:pPr>
      <w:spacing w:before="120" w:after="0"/>
    </w:pPr>
    <w:rPr>
      <w:b/>
      <w:bCs/>
      <w:sz w:val="16"/>
      <w:szCs w:val="18"/>
    </w:rPr>
  </w:style>
  <w:style w:type="paragraph" w:styleId="ListBullet">
    <w:name w:val="List Bullet"/>
    <w:uiPriority w:val="49"/>
    <w:qFormat/>
    <w:rsid w:val="00b37ff1"/>
    <w:basedOn w:val="Normal"/>
    <w:pPr>
      <w:tabs>
        <w:tab w:val="left" w:pos="1134" w:leader="none"/>
      </w:tabs>
      <w:overflowPunct w:val="false"/>
      <w:spacing w:before="120" w:after="0"/>
      <w:textAlignment w:val="baseline"/>
    </w:pPr>
    <w:rPr>
      <w:szCs w:val="20"/>
    </w:rPr>
  </w:style>
  <w:style w:type="paragraph" w:styleId="ListNumber">
    <w:name w:val="List Number"/>
    <w:uiPriority w:val="49"/>
    <w:qFormat/>
    <w:rsid w:val="00b37ff1"/>
    <w:pPr>
      <w:widowControl w:val="false"/>
      <w:suppressAutoHyphens w:val="true"/>
      <w:overflowPunct w:val="false"/>
      <w:bidi w:val="0"/>
      <w:spacing w:before="240" w:after="0"/>
      <w:jc w:val="left"/>
      <w:textAlignment w:val="baseline"/>
    </w:pPr>
    <w:rPr>
      <w:rFonts w:ascii="Times New Roman" w:hAnsi="Times New Roman" w:eastAsia="Times New Roman" w:cs="Times New Roman"/>
      <w:color w:val="00000A"/>
      <w:sz w:val="20"/>
      <w:szCs w:val="20"/>
      <w:lang w:val="en-NZ" w:eastAsia="en-US" w:bidi="ar-SA"/>
    </w:rPr>
  </w:style>
  <w:style w:type="paragraph" w:styleId="ListNumber2">
    <w:name w:val="List Number 2"/>
    <w:uiPriority w:val="99"/>
    <w:semiHidden/>
    <w:unhideWhenUsed/>
    <w:rsid w:val="00255554"/>
    <w:basedOn w:val="Normal"/>
    <w:pPr>
      <w:spacing w:before="0" w:after="0"/>
      <w:contextualSpacing/>
    </w:pPr>
    <w:rPr/>
  </w:style>
  <w:style w:type="paragraph" w:styleId="Title">
    <w:name w:val="Title"/>
    <w:uiPriority w:val="2"/>
    <w:qFormat/>
    <w:link w:val="TitleChar"/>
    <w:rsid w:val="00b37ff1"/>
    <w:basedOn w:val="Normal"/>
    <w:pPr>
      <w:spacing w:lineRule="auto" w:line="240"/>
    </w:pPr>
    <w:rPr>
      <w:rFonts w:cs="Arial"/>
      <w:bCs/>
      <w:sz w:val="32"/>
      <w:szCs w:val="32"/>
    </w:rPr>
  </w:style>
  <w:style w:type="paragraph" w:styleId="TextBodyIndent">
    <w:name w:val="Text Body Indent"/>
    <w:uiPriority w:val="11"/>
    <w:qFormat/>
    <w:link w:val="BodyTextIndentChar"/>
    <w:rsid w:val="00b37ff1"/>
    <w:basedOn w:val="Normal"/>
    <w:pPr>
      <w:spacing w:before="240" w:after="0"/>
      <w:ind w:left="567" w:right="0" w:hanging="0"/>
    </w:pPr>
    <w:rPr/>
  </w:style>
  <w:style w:type="paragraph" w:styleId="BodyTextIndent2">
    <w:name w:val="Body Text Indent 2"/>
    <w:uiPriority w:val="12"/>
    <w:qFormat/>
    <w:link w:val="BodyTextIndent2Char"/>
    <w:rsid w:val="00b37ff1"/>
    <w:basedOn w:val="Normal"/>
    <w:pPr>
      <w:spacing w:before="240" w:after="0"/>
      <w:ind w:left="1134" w:right="0" w:hanging="0"/>
    </w:pPr>
    <w:rPr/>
  </w:style>
  <w:style w:type="paragraph" w:styleId="Bulletpointsindent2" w:customStyle="1">
    <w:name w:val="Bullet points indent 2"/>
    <w:uiPriority w:val="9"/>
    <w:rsid w:val="00631640"/>
    <w:basedOn w:val="BulletPoints2"/>
    <w:pPr>
      <w:jc w:val="both"/>
    </w:pPr>
    <w:rPr/>
  </w:style>
  <w:style w:type="paragraph" w:styleId="BulletPointsMFAT" w:customStyle="1">
    <w:name w:val="Bullet Points MFAT"/>
    <w:uiPriority w:val="6"/>
    <w:qFormat/>
    <w:link w:val="BulletPointsMFATChar"/>
    <w:rsid w:val="00b37ff1"/>
    <w:basedOn w:val="Normal"/>
    <w:pPr>
      <w:overflowPunct w:val="false"/>
      <w:spacing w:before="120" w:after="0"/>
      <w:textAlignment w:val="baseline"/>
    </w:pPr>
    <w:rPr>
      <w:szCs w:val="20"/>
    </w:rPr>
  </w:style>
  <w:style w:type="paragraph" w:styleId="DocumentIDMFAT" w:customStyle="1">
    <w:name w:val="Document ID MFAT"/>
    <w:uiPriority w:val="21"/>
    <w:qFormat/>
    <w:rsid w:val="00b37ff1"/>
    <w:basedOn w:val="Normal"/>
    <w:pPr/>
    <w:rPr>
      <w:rFonts w:cs="Arial"/>
      <w:sz w:val="14"/>
    </w:rPr>
  </w:style>
  <w:style w:type="paragraph" w:styleId="BulletPoints2MFAT" w:customStyle="1">
    <w:name w:val="Bullet Points 2 MFAT"/>
    <w:uiPriority w:val="8"/>
    <w:qFormat/>
    <w:rsid w:val="00b37ff1"/>
    <w:basedOn w:val="Normal"/>
    <w:pPr>
      <w:spacing w:before="60" w:after="0"/>
    </w:pPr>
    <w:rPr/>
  </w:style>
  <w:style w:type="paragraph" w:styleId="TableheadingMFAT" w:customStyle="1">
    <w:name w:val="Table heading MFAT"/>
    <w:uiPriority w:val="15"/>
    <w:qFormat/>
    <w:rsid w:val="00b37ff1"/>
    <w:basedOn w:val="Normal"/>
    <w:next w:val="Normal"/>
    <w:pPr>
      <w:spacing w:lineRule="auto" w:line="240"/>
    </w:pPr>
    <w:rPr>
      <w:caps/>
      <w:sz w:val="16"/>
    </w:rPr>
  </w:style>
  <w:style w:type="paragraph" w:styleId="TabletextMFAT" w:customStyle="1">
    <w:name w:val="Table text MFAT"/>
    <w:uiPriority w:val="16"/>
    <w:qFormat/>
    <w:rsid w:val="00b37ff1"/>
    <w:basedOn w:val="Normal"/>
    <w:pPr>
      <w:spacing w:lineRule="auto" w:line="240"/>
    </w:pPr>
    <w:rPr>
      <w:sz w:val="18"/>
    </w:rPr>
  </w:style>
  <w:style w:type="paragraph" w:styleId="PageNumbersMFAT" w:customStyle="1">
    <w:name w:val="Page Numbers MFAT"/>
    <w:uiPriority w:val="26"/>
    <w:qFormat/>
    <w:rsid w:val="00b37ff1"/>
    <w:basedOn w:val="Normal"/>
    <w:pPr>
      <w:spacing w:lineRule="auto" w:line="240"/>
      <w:jc w:val="center"/>
    </w:pPr>
    <w:rPr>
      <w:sz w:val="18"/>
    </w:rPr>
  </w:style>
  <w:style w:type="paragraph" w:styleId="TOC1MFAT" w:customStyle="1">
    <w:name w:val="TOC1 MFAT"/>
    <w:uiPriority w:val="17"/>
    <w:qFormat/>
    <w:rsid w:val="00b37ff1"/>
    <w:basedOn w:val="Normal"/>
    <w:pPr>
      <w:spacing w:lineRule="auto" w:line="240" w:before="180" w:after="0"/>
    </w:pPr>
    <w:rPr/>
  </w:style>
  <w:style w:type="paragraph" w:styleId="TOC2MFAT" w:customStyle="1">
    <w:name w:val="TOC2 MFAT"/>
    <w:uiPriority w:val="18"/>
    <w:qFormat/>
    <w:rsid w:val="00b37ff1"/>
    <w:basedOn w:val="Normal"/>
    <w:pPr>
      <w:spacing w:lineRule="auto" w:line="240" w:before="120" w:after="0"/>
      <w:ind w:left="284" w:right="0" w:hanging="0"/>
    </w:pPr>
    <w:rPr>
      <w:sz w:val="18"/>
    </w:rPr>
  </w:style>
  <w:style w:type="paragraph" w:styleId="TOC3MFAT" w:customStyle="1">
    <w:name w:val="TOC3 MFAT"/>
    <w:uiPriority w:val="19"/>
    <w:qFormat/>
    <w:rsid w:val="00b37ff1"/>
    <w:basedOn w:val="Normal"/>
    <w:pPr>
      <w:spacing w:lineRule="auto" w:line="240" w:before="60" w:after="0"/>
      <w:ind w:left="567" w:right="0" w:hanging="0"/>
    </w:pPr>
    <w:rPr>
      <w:sz w:val="18"/>
    </w:rPr>
  </w:style>
  <w:style w:type="paragraph" w:styleId="FootnoteMFAT" w:customStyle="1">
    <w:name w:val="Footnote MFAT"/>
    <w:uiPriority w:val="23"/>
    <w:qFormat/>
    <w:rsid w:val="00b37ff1"/>
    <w:basedOn w:val="Normal"/>
    <w:pPr>
      <w:spacing w:before="120" w:after="0"/>
    </w:pPr>
    <w:rPr>
      <w:sz w:val="16"/>
    </w:rPr>
  </w:style>
  <w:style w:type="paragraph" w:styleId="SecurityClassificationMFAT" w:customStyle="1">
    <w:name w:val="Security Classification MFAT"/>
    <w:uiPriority w:val="27"/>
    <w:qFormat/>
    <w:rsid w:val="00b37ff1"/>
    <w:basedOn w:val="Normal"/>
    <w:next w:val="Normal"/>
    <w:pPr>
      <w:jc w:val="center"/>
    </w:pPr>
    <w:rPr>
      <w:rFonts w:cs="Arial"/>
      <w:bCs/>
      <w:caps/>
      <w:szCs w:val="20"/>
    </w:rPr>
  </w:style>
  <w:style w:type="paragraph" w:styleId="BulletpointsindentMFAT" w:customStyle="1">
    <w:name w:val="Bullet points indent MFAT"/>
    <w:uiPriority w:val="7"/>
    <w:qFormat/>
    <w:rsid w:val="00b37ff1"/>
    <w:basedOn w:val="BulletPointsMFAT"/>
    <w:pPr/>
    <w:rPr/>
  </w:style>
  <w:style w:type="paragraph" w:styleId="NumberMFAT" w:customStyle="1">
    <w:name w:val="Number MFAT"/>
    <w:uiPriority w:val="25"/>
    <w:qFormat/>
    <w:link w:val="NumberMFATChar"/>
    <w:rsid w:val="00b37ff1"/>
    <w:pPr>
      <w:widowControl/>
      <w:suppressAutoHyphens w:val="true"/>
      <w:bidi w:val="0"/>
      <w:spacing w:lineRule="auto" w:line="288" w:before="120" w:after="120"/>
      <w:jc w:val="left"/>
    </w:pPr>
    <w:rPr>
      <w:rFonts w:ascii="Verdana" w:hAnsi="Verdana" w:eastAsia="Times New Roman" w:cs="Times New Roman"/>
      <w:color w:val="00000A"/>
      <w:sz w:val="20"/>
      <w:szCs w:val="20"/>
      <w:lang w:val="en-NZ" w:eastAsia="en-US" w:bidi="ar-SA"/>
    </w:rPr>
  </w:style>
  <w:style w:type="paragraph" w:styleId="Bulletpointsindent2MFAT" w:customStyle="1">
    <w:name w:val="Bullet points indent 2 MFAT"/>
    <w:uiPriority w:val="9"/>
    <w:qFormat/>
    <w:rsid w:val="00b37ff1"/>
    <w:basedOn w:val="BulletPoints2MFAT"/>
    <w:pPr>
      <w:jc w:val="both"/>
    </w:pPr>
    <w:rPr/>
  </w:style>
  <w:style w:type="paragraph" w:styleId="ListParagraph">
    <w:name w:val="List Paragraph"/>
    <w:uiPriority w:val="34"/>
    <w:qFormat/>
    <w:rsid w:val="003b2a13"/>
    <w:basedOn w:val="Normal"/>
    <w:pPr>
      <w:spacing w:before="0" w:after="0"/>
      <w:ind w:left="720" w:right="0" w:hanging="0"/>
      <w:contextualSpacing/>
    </w:pPr>
    <w:rPr/>
  </w:style>
  <w:style w:type="paragraph" w:styleId="Annotationtext">
    <w:name w:val="annotation text"/>
    <w:uiPriority w:val="99"/>
    <w:semiHidden/>
    <w:unhideWhenUsed/>
    <w:link w:val="CommentTextChar"/>
    <w:rsid w:val="0073227e"/>
    <w:basedOn w:val="Normal"/>
    <w:pPr>
      <w:spacing w:lineRule="auto" w:line="240"/>
    </w:pPr>
    <w:rPr>
      <w:szCs w:val="20"/>
    </w:rPr>
  </w:style>
  <w:style w:type="paragraph" w:styleId="Annotationsubject">
    <w:name w:val="annotation subject"/>
    <w:uiPriority w:val="99"/>
    <w:semiHidden/>
    <w:unhideWhenUsed/>
    <w:link w:val="CommentSubjectChar"/>
    <w:rsid w:val="0073227e"/>
    <w:basedOn w:val="Annotationtext"/>
    <w:pPr/>
    <w:rPr>
      <w:b/>
      <w:bCs/>
    </w:rPr>
  </w:style>
  <w:style w:type="paragraph" w:styleId="BalloonText">
    <w:name w:val="Balloon Text"/>
    <w:uiPriority w:val="99"/>
    <w:semiHidden/>
    <w:unhideWhenUsed/>
    <w:link w:val="BalloonTextChar"/>
    <w:rsid w:val="0073227e"/>
    <w:basedOn w:val="Normal"/>
    <w:pPr>
      <w:spacing w:lineRule="auto" w:line="24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customStyle="1" w:styleId="Table-Grid">
    <w:name w:val="Table-Grid"/>
    <w:basedOn w:val="TableNormal"/>
    <w:uiPriority w:val="99"/>
    <w:rsid w:val="005f1313"/>
    <w:tblPr>
      <w:tblInd w:type="dxa" w:w="0"/>
      <w:tblBorders>
        <w:top w:space="0" w:sz="6" w:themeColor="background1" w:color="808080" w:val="single"/>
        <w:bottom w:space="0" w:sz="6" w:themeColor="background1" w:color="808080" w:val="single"/>
      </w:tblBorders>
      <w:tblCellMar>
        <w:top w:w="57" w:type="dxa"/>
        <w:left w:w="85" w:type="dxa"/>
        <w:bottom w:w="57" w:type="dxa"/>
        <w:right w:w="0" w:type="dxa"/>
      </w:tblCellMar>
    </w:tblPr>
    <w:tcPr>
      <w:shd w:fill="FFFFFF" w:color="auto" w:themeFill="background1" w:val="clear"/>
    </w:tcPr>
  </w:style>
  <w:style w:type="table" w:styleId="TableGrid">
    <w:name w:val="Table Grid"/>
    <w:basedOn w:val="TableNormal"/>
    <w:uiPriority w:val="59"/>
    <w:rsid w:val="00303a38"/>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87F2F-FE79-458C-B675-9121E049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2016-06-09T12:48:49Z</dcterms:created>
  <dc:language>en-GB</dc:language>
  <cp:revision>1</cp:revision>
</cp:coreProperties>
</file>