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746A" w:rsidRDefault="00B0746A" w:rsidP="006E521A">
      <w:pPr>
        <w:pStyle w:val="Titre1"/>
        <w:rPr>
          <w:rStyle w:val="author-g-bmsh6e7h2v8d1tqt"/>
          <w:rFonts w:ascii="Arial" w:hAnsi="Arial" w:cs="Arial"/>
          <w:sz w:val="19"/>
          <w:szCs w:val="19"/>
          <w:lang w:val="fr-FR"/>
        </w:rPr>
      </w:pPr>
      <w:bookmarkStart w:id="0" w:name="_GoBack"/>
      <w:bookmarkEnd w:id="0"/>
      <w:r>
        <w:rPr>
          <w:noProof/>
          <w:color w:val="1F497D"/>
          <w:lang w:val="fr-BE" w:eastAsia="fr-BE"/>
        </w:rPr>
        <w:drawing>
          <wp:inline distT="0" distB="0" distL="0" distR="0" wp14:anchorId="1C4C2859" wp14:editId="30B490FC">
            <wp:extent cx="5760720" cy="1414780"/>
            <wp:effectExtent l="0" t="0" r="0" b="0"/>
            <wp:docPr id="3" name="Image 3" descr="cid:image001.jpg@01D08270.25DD6A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cid:image001.jpg@01D08270.25DD6A00"/>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5760720" cy="1414780"/>
                    </a:xfrm>
                    <a:prstGeom prst="rect">
                      <a:avLst/>
                    </a:prstGeom>
                    <a:noFill/>
                    <a:ln>
                      <a:noFill/>
                    </a:ln>
                  </pic:spPr>
                </pic:pic>
              </a:graphicData>
            </a:graphic>
          </wp:inline>
        </w:drawing>
      </w:r>
    </w:p>
    <w:p w:rsidR="00C5089E" w:rsidRPr="009A1105" w:rsidRDefault="00C5089E" w:rsidP="006E521A">
      <w:pPr>
        <w:pStyle w:val="Titre1"/>
        <w:rPr>
          <w:lang w:val="fr-FR"/>
        </w:rPr>
      </w:pPr>
      <w:r w:rsidRPr="009A1105">
        <w:rPr>
          <w:rStyle w:val="author-g-bmsh6e7h2v8d1tqt"/>
          <w:rFonts w:ascii="Arial" w:hAnsi="Arial" w:cs="Arial"/>
          <w:sz w:val="19"/>
          <w:szCs w:val="19"/>
          <w:lang w:val="fr-FR"/>
        </w:rPr>
        <w:t>Traités transatlantiques : La société civile belge s’unit</w:t>
      </w:r>
    </w:p>
    <w:p w:rsidR="00C5089E" w:rsidRPr="009A1105" w:rsidRDefault="00C5089E" w:rsidP="00C5089E">
      <w:pPr>
        <w:spacing w:line="255" w:lineRule="atLeast"/>
        <w:rPr>
          <w:rFonts w:ascii="Arial" w:hAnsi="Arial" w:cs="Arial"/>
          <w:sz w:val="19"/>
          <w:szCs w:val="19"/>
          <w:lang w:val="fr-FR"/>
        </w:rPr>
      </w:pPr>
      <w:r w:rsidRPr="009A1105">
        <w:rPr>
          <w:rStyle w:val="author-g-bmsh6e7h2v8d1tqt"/>
          <w:rFonts w:ascii="Arial" w:hAnsi="Arial" w:cs="Arial"/>
          <w:sz w:val="19"/>
          <w:szCs w:val="19"/>
          <w:lang w:val="fr-FR"/>
        </w:rPr>
        <w:t>contre ces traités de dérégulation non démocratiques</w:t>
      </w:r>
    </w:p>
    <w:p w:rsidR="00C5089E" w:rsidRPr="009A1105" w:rsidRDefault="00C5089E" w:rsidP="00C5089E">
      <w:pPr>
        <w:spacing w:line="255" w:lineRule="atLeast"/>
        <w:rPr>
          <w:rFonts w:ascii="Arial" w:hAnsi="Arial" w:cs="Arial"/>
          <w:sz w:val="19"/>
          <w:szCs w:val="19"/>
          <w:lang w:val="fr-FR"/>
        </w:rPr>
      </w:pPr>
    </w:p>
    <w:p w:rsidR="00C5089E" w:rsidRPr="009A1105" w:rsidRDefault="00C5089E" w:rsidP="00C5089E">
      <w:pPr>
        <w:spacing w:line="255" w:lineRule="atLeast"/>
        <w:rPr>
          <w:rFonts w:ascii="Arial" w:hAnsi="Arial" w:cs="Arial"/>
          <w:sz w:val="19"/>
          <w:szCs w:val="19"/>
          <w:lang w:val="fr-FR"/>
        </w:rPr>
      </w:pPr>
      <w:r w:rsidRPr="009A1105">
        <w:rPr>
          <w:rStyle w:val="author-g-bmsh6e7h2v8d1tqt"/>
          <w:rFonts w:ascii="Arial" w:hAnsi="Arial" w:cs="Arial"/>
          <w:b/>
          <w:bCs/>
          <w:sz w:val="19"/>
          <w:szCs w:val="19"/>
          <w:lang w:val="fr-FR"/>
        </w:rPr>
        <w:t>Déclaration commune</w:t>
      </w:r>
    </w:p>
    <w:p w:rsidR="00C5089E" w:rsidRPr="009A1105" w:rsidRDefault="00C5089E" w:rsidP="00C5089E">
      <w:pPr>
        <w:spacing w:line="255" w:lineRule="atLeast"/>
        <w:rPr>
          <w:rFonts w:ascii="Arial" w:hAnsi="Arial" w:cs="Arial"/>
          <w:sz w:val="19"/>
          <w:szCs w:val="19"/>
          <w:lang w:val="fr-FR"/>
        </w:rPr>
      </w:pPr>
    </w:p>
    <w:p w:rsidR="003F5B75" w:rsidRPr="009A1105" w:rsidRDefault="0003677F" w:rsidP="00C5089E">
      <w:pPr>
        <w:spacing w:line="255" w:lineRule="atLeast"/>
        <w:rPr>
          <w:rFonts w:ascii="Arial" w:hAnsi="Arial" w:cs="Arial"/>
          <w:bCs/>
          <w:sz w:val="19"/>
          <w:szCs w:val="19"/>
          <w:lang w:val="fr-FR"/>
        </w:rPr>
      </w:pPr>
      <w:r w:rsidRPr="009A1105">
        <w:rPr>
          <w:rStyle w:val="author-g-bmsh6e7h2v8d1tqt"/>
          <w:rFonts w:ascii="Arial" w:hAnsi="Arial" w:cs="Arial"/>
          <w:sz w:val="19"/>
          <w:szCs w:val="19"/>
          <w:lang w:val="fr-FR"/>
        </w:rPr>
        <w:t>La société civile belge émet</w:t>
      </w:r>
      <w:r w:rsidR="00C5089E" w:rsidRPr="009A1105">
        <w:rPr>
          <w:rStyle w:val="author-g-bmsh6e7h2v8d1tqt"/>
          <w:rFonts w:ascii="Arial" w:hAnsi="Arial" w:cs="Arial"/>
          <w:sz w:val="19"/>
          <w:szCs w:val="19"/>
          <w:lang w:val="fr-FR"/>
        </w:rPr>
        <w:t xml:space="preserve"> de sérieuses réserves quant </w:t>
      </w:r>
      <w:r w:rsidR="003F5B75" w:rsidRPr="009A1105">
        <w:rPr>
          <w:rStyle w:val="author-g-bmsh6e7h2v8d1tqt"/>
          <w:rFonts w:ascii="Arial" w:hAnsi="Arial" w:cs="Arial"/>
          <w:sz w:val="19"/>
          <w:szCs w:val="19"/>
          <w:lang w:val="fr-FR"/>
        </w:rPr>
        <w:t>au</w:t>
      </w:r>
      <w:r w:rsidRPr="009A1105">
        <w:rPr>
          <w:rStyle w:val="author-g-bmsh6e7h2v8d1tqt"/>
          <w:rFonts w:ascii="Arial" w:hAnsi="Arial" w:cs="Arial"/>
          <w:sz w:val="19"/>
          <w:szCs w:val="19"/>
          <w:lang w:val="fr-FR"/>
        </w:rPr>
        <w:t>x</w:t>
      </w:r>
      <w:r w:rsidR="003F5B75" w:rsidRPr="009A1105">
        <w:rPr>
          <w:rStyle w:val="author-g-bmsh6e7h2v8d1tqt"/>
          <w:rFonts w:ascii="Arial" w:hAnsi="Arial" w:cs="Arial"/>
          <w:sz w:val="19"/>
          <w:szCs w:val="19"/>
          <w:lang w:val="fr-FR"/>
        </w:rPr>
        <w:t xml:space="preserve"> </w:t>
      </w:r>
      <w:r w:rsidR="00C5089E" w:rsidRPr="009A1105">
        <w:rPr>
          <w:rStyle w:val="author-g-bmsh6e7h2v8d1tqt"/>
          <w:rFonts w:ascii="Arial" w:hAnsi="Arial" w:cs="Arial"/>
          <w:sz w:val="19"/>
          <w:szCs w:val="19"/>
          <w:lang w:val="fr-FR"/>
        </w:rPr>
        <w:t>traités</w:t>
      </w:r>
      <w:r w:rsidR="003F5B75" w:rsidRPr="009A1105">
        <w:rPr>
          <w:rStyle w:val="author-g-bmsh6e7h2v8d1tqt"/>
          <w:rFonts w:ascii="Arial" w:hAnsi="Arial" w:cs="Arial"/>
          <w:sz w:val="19"/>
          <w:szCs w:val="19"/>
          <w:lang w:val="fr-FR"/>
        </w:rPr>
        <w:t xml:space="preserve"> transatlantique</w:t>
      </w:r>
      <w:r w:rsidRPr="009A1105">
        <w:rPr>
          <w:rStyle w:val="author-g-bmsh6e7h2v8d1tqt"/>
          <w:rFonts w:ascii="Arial" w:hAnsi="Arial" w:cs="Arial"/>
          <w:sz w:val="19"/>
          <w:szCs w:val="19"/>
          <w:lang w:val="fr-FR"/>
        </w:rPr>
        <w:t>s</w:t>
      </w:r>
      <w:r w:rsidR="003F5B75" w:rsidRPr="009A1105">
        <w:rPr>
          <w:rStyle w:val="author-g-bmsh6e7h2v8d1tqt"/>
          <w:rFonts w:ascii="Arial" w:hAnsi="Arial" w:cs="Arial"/>
          <w:sz w:val="19"/>
          <w:szCs w:val="19"/>
          <w:lang w:val="fr-FR"/>
        </w:rPr>
        <w:t>.</w:t>
      </w:r>
      <w:r w:rsidR="00C5089E" w:rsidRPr="009A1105">
        <w:rPr>
          <w:rStyle w:val="author-g-bmsh6e7h2v8d1tqt"/>
          <w:rFonts w:ascii="Arial" w:hAnsi="Arial" w:cs="Arial"/>
          <w:sz w:val="19"/>
          <w:szCs w:val="19"/>
          <w:lang w:val="fr-FR"/>
        </w:rPr>
        <w:t xml:space="preserve"> </w:t>
      </w:r>
      <w:r w:rsidR="003F5B75" w:rsidRPr="009A1105">
        <w:rPr>
          <w:rFonts w:ascii="Arial" w:hAnsi="Arial" w:cs="Arial"/>
          <w:sz w:val="19"/>
          <w:szCs w:val="19"/>
          <w:lang w:val="fr-FR"/>
        </w:rPr>
        <w:t xml:space="preserve">Les négociations du TTIP </w:t>
      </w:r>
      <w:r w:rsidR="003F5B75" w:rsidRPr="009A1105">
        <w:rPr>
          <w:rStyle w:val="b"/>
          <w:rFonts w:ascii="Arial" w:hAnsi="Arial" w:cs="Arial"/>
          <w:bCs/>
          <w:sz w:val="19"/>
          <w:szCs w:val="19"/>
          <w:lang w:val="fr-FR"/>
        </w:rPr>
        <w:t xml:space="preserve">ne peuvent continuer </w:t>
      </w:r>
      <w:r w:rsidRPr="009A1105">
        <w:rPr>
          <w:rStyle w:val="b"/>
          <w:rFonts w:ascii="Arial" w:hAnsi="Arial" w:cs="Arial"/>
          <w:bCs/>
          <w:sz w:val="19"/>
          <w:szCs w:val="19"/>
          <w:lang w:val="fr-FR"/>
        </w:rPr>
        <w:t>de sur</w:t>
      </w:r>
      <w:r w:rsidR="003F5B75" w:rsidRPr="009A1105">
        <w:rPr>
          <w:rStyle w:val="b"/>
          <w:rFonts w:ascii="Arial" w:hAnsi="Arial" w:cs="Arial"/>
          <w:bCs/>
          <w:sz w:val="19"/>
          <w:szCs w:val="19"/>
          <w:lang w:val="fr-FR"/>
        </w:rPr>
        <w:t xml:space="preserve"> la base du mandat actuel</w:t>
      </w:r>
      <w:r w:rsidR="00533FAD">
        <w:rPr>
          <w:rStyle w:val="b"/>
          <w:rFonts w:ascii="Arial" w:hAnsi="Arial" w:cs="Arial"/>
          <w:bCs/>
          <w:sz w:val="19"/>
          <w:szCs w:val="19"/>
          <w:lang w:val="fr-FR"/>
        </w:rPr>
        <w:t xml:space="preserve"> et des méthodes employées jusqu’à présent</w:t>
      </w:r>
      <w:r w:rsidRPr="009A1105">
        <w:rPr>
          <w:rStyle w:val="b"/>
          <w:rFonts w:ascii="Arial" w:hAnsi="Arial" w:cs="Arial"/>
          <w:bCs/>
          <w:sz w:val="19"/>
          <w:szCs w:val="19"/>
          <w:lang w:val="fr-FR"/>
        </w:rPr>
        <w:t>. L</w:t>
      </w:r>
      <w:r w:rsidR="003F5B75" w:rsidRPr="009A1105">
        <w:rPr>
          <w:rStyle w:val="b"/>
          <w:rFonts w:ascii="Arial" w:hAnsi="Arial" w:cs="Arial"/>
          <w:bCs/>
          <w:sz w:val="19"/>
          <w:szCs w:val="19"/>
          <w:lang w:val="fr-FR"/>
        </w:rPr>
        <w:t>’accor</w:t>
      </w:r>
      <w:r w:rsidRPr="009A1105">
        <w:rPr>
          <w:rStyle w:val="b"/>
          <w:rFonts w:ascii="Arial" w:hAnsi="Arial" w:cs="Arial"/>
          <w:bCs/>
          <w:sz w:val="19"/>
          <w:szCs w:val="19"/>
          <w:lang w:val="fr-FR"/>
        </w:rPr>
        <w:t xml:space="preserve">d CETA avec le Canada ne peut quant à lui pas </w:t>
      </w:r>
      <w:r w:rsidR="003F5B75" w:rsidRPr="009A1105">
        <w:rPr>
          <w:rFonts w:ascii="Arial" w:hAnsi="Arial" w:cs="Arial"/>
          <w:sz w:val="19"/>
          <w:szCs w:val="19"/>
          <w:lang w:val="fr-FR"/>
        </w:rPr>
        <w:t>être approuvé dans sa version actuelle</w:t>
      </w:r>
      <w:r w:rsidRPr="009A1105">
        <w:rPr>
          <w:rFonts w:ascii="Arial" w:hAnsi="Arial" w:cs="Arial"/>
          <w:sz w:val="19"/>
          <w:szCs w:val="19"/>
          <w:lang w:val="fr-FR"/>
        </w:rPr>
        <w:t>. C’est pourquoi n</w:t>
      </w:r>
      <w:r w:rsidR="003F5B75" w:rsidRPr="009A1105">
        <w:rPr>
          <w:rFonts w:ascii="Arial" w:hAnsi="Arial" w:cs="Arial"/>
          <w:sz w:val="19"/>
          <w:szCs w:val="19"/>
          <w:lang w:val="fr-FR"/>
        </w:rPr>
        <w:t xml:space="preserve">ous demandons </w:t>
      </w:r>
      <w:r w:rsidR="003F5B75" w:rsidRPr="009A1105">
        <w:rPr>
          <w:rFonts w:ascii="Arial" w:hAnsi="Arial" w:cs="Arial"/>
          <w:bCs/>
          <w:sz w:val="19"/>
          <w:szCs w:val="19"/>
          <w:lang w:val="fr-FR"/>
        </w:rPr>
        <w:t>une démocratisation profonde de la politique commerciale européenne.</w:t>
      </w:r>
    </w:p>
    <w:p w:rsidR="00C5089E" w:rsidRPr="009A1105" w:rsidRDefault="00C5089E" w:rsidP="00C5089E">
      <w:pPr>
        <w:spacing w:line="255" w:lineRule="atLeast"/>
        <w:rPr>
          <w:rFonts w:ascii="Arial" w:hAnsi="Arial" w:cs="Arial"/>
          <w:sz w:val="19"/>
          <w:szCs w:val="19"/>
          <w:lang w:val="fr-FR"/>
        </w:rPr>
      </w:pPr>
    </w:p>
    <w:p w:rsidR="00C5089E" w:rsidRPr="009A1105" w:rsidRDefault="00C5089E" w:rsidP="006E4F9E">
      <w:pPr>
        <w:spacing w:after="60" w:line="255" w:lineRule="atLeast"/>
        <w:rPr>
          <w:rStyle w:val="author-g-bmsh6e7h2v8d1tqt"/>
          <w:rFonts w:ascii="Arial" w:hAnsi="Arial" w:cs="Arial"/>
          <w:b/>
          <w:bCs/>
          <w:sz w:val="19"/>
          <w:szCs w:val="19"/>
          <w:lang w:val="fr-FR"/>
        </w:rPr>
      </w:pPr>
      <w:r w:rsidRPr="009A1105">
        <w:rPr>
          <w:rStyle w:val="author-g-oor7mrf9lestxv5g"/>
          <w:rFonts w:ascii="Arial" w:hAnsi="Arial" w:cs="Arial"/>
          <w:b/>
          <w:bCs/>
          <w:sz w:val="19"/>
          <w:szCs w:val="19"/>
          <w:lang w:val="fr-FR"/>
        </w:rPr>
        <w:t xml:space="preserve">Les </w:t>
      </w:r>
      <w:r w:rsidRPr="009A1105">
        <w:rPr>
          <w:rStyle w:val="author-g-bmsh6e7h2v8d1tqt"/>
          <w:rFonts w:ascii="Arial" w:hAnsi="Arial" w:cs="Arial"/>
          <w:b/>
          <w:bCs/>
          <w:sz w:val="19"/>
          <w:szCs w:val="19"/>
          <w:lang w:val="fr-FR"/>
        </w:rPr>
        <w:t xml:space="preserve">promoteurs des traités transatlantiques </w:t>
      </w:r>
      <w:r w:rsidR="00533FAD">
        <w:rPr>
          <w:rStyle w:val="author-g-bmsh6e7h2v8d1tqt"/>
          <w:rFonts w:ascii="Arial" w:hAnsi="Arial" w:cs="Arial"/>
          <w:b/>
          <w:bCs/>
          <w:sz w:val="19"/>
          <w:szCs w:val="19"/>
          <w:lang w:val="fr-FR"/>
        </w:rPr>
        <w:t>font des promesses qui ne pourront être tenues</w:t>
      </w:r>
    </w:p>
    <w:p w:rsidR="003F5B75" w:rsidRPr="009A1105" w:rsidRDefault="003F5B75" w:rsidP="00C5089E">
      <w:pPr>
        <w:spacing w:line="255" w:lineRule="atLeast"/>
        <w:rPr>
          <w:rFonts w:ascii="Arial" w:hAnsi="Arial" w:cs="Arial"/>
          <w:sz w:val="19"/>
          <w:szCs w:val="19"/>
          <w:lang w:val="fr-BE"/>
        </w:rPr>
      </w:pPr>
      <w:r w:rsidRPr="009A1105">
        <w:rPr>
          <w:rFonts w:ascii="Arial" w:hAnsi="Arial" w:cs="Arial"/>
          <w:sz w:val="19"/>
          <w:szCs w:val="19"/>
          <w:lang w:val="fr-BE"/>
        </w:rPr>
        <w:t xml:space="preserve">Les négociations </w:t>
      </w:r>
      <w:r w:rsidR="00533FAD">
        <w:rPr>
          <w:rFonts w:ascii="Arial" w:hAnsi="Arial" w:cs="Arial"/>
          <w:sz w:val="19"/>
          <w:szCs w:val="19"/>
          <w:lang w:val="fr-BE"/>
        </w:rPr>
        <w:t>du</w:t>
      </w:r>
      <w:r w:rsidRPr="009A1105">
        <w:rPr>
          <w:rFonts w:ascii="Arial" w:hAnsi="Arial" w:cs="Arial"/>
          <w:sz w:val="19"/>
          <w:szCs w:val="19"/>
          <w:lang w:val="fr-BE"/>
        </w:rPr>
        <w:t xml:space="preserve"> TTIP ont été annoncé</w:t>
      </w:r>
      <w:r w:rsidR="0003677F" w:rsidRPr="009A1105">
        <w:rPr>
          <w:rFonts w:ascii="Arial" w:hAnsi="Arial" w:cs="Arial"/>
          <w:sz w:val="19"/>
          <w:szCs w:val="19"/>
          <w:lang w:val="fr-BE"/>
        </w:rPr>
        <w:t>es</w:t>
      </w:r>
      <w:r w:rsidRPr="009A1105">
        <w:rPr>
          <w:rFonts w:ascii="Arial" w:hAnsi="Arial" w:cs="Arial"/>
          <w:sz w:val="19"/>
          <w:szCs w:val="19"/>
          <w:lang w:val="fr-BE"/>
        </w:rPr>
        <w:t xml:space="preserve"> au printemps 2013. </w:t>
      </w:r>
      <w:r w:rsidR="0003677F" w:rsidRPr="009A1105">
        <w:rPr>
          <w:rFonts w:ascii="Arial" w:hAnsi="Arial" w:cs="Arial"/>
          <w:sz w:val="19"/>
          <w:szCs w:val="19"/>
          <w:lang w:val="fr-BE"/>
        </w:rPr>
        <w:t xml:space="preserve">Le </w:t>
      </w:r>
      <w:r w:rsidRPr="009A1105">
        <w:rPr>
          <w:rFonts w:ascii="Arial" w:hAnsi="Arial" w:cs="Arial"/>
          <w:sz w:val="19"/>
          <w:szCs w:val="19"/>
          <w:lang w:val="fr-BE"/>
        </w:rPr>
        <w:t>TTIP</w:t>
      </w:r>
      <w:r w:rsidR="00D7554A" w:rsidRPr="009A1105">
        <w:rPr>
          <w:rFonts w:ascii="Arial" w:hAnsi="Arial" w:cs="Arial"/>
          <w:sz w:val="19"/>
          <w:szCs w:val="19"/>
          <w:lang w:val="fr-BE"/>
        </w:rPr>
        <w:t xml:space="preserve"> </w:t>
      </w:r>
      <w:r w:rsidR="00533FAD">
        <w:rPr>
          <w:rFonts w:ascii="Arial" w:hAnsi="Arial" w:cs="Arial"/>
          <w:sz w:val="19"/>
          <w:szCs w:val="19"/>
          <w:lang w:val="fr-BE"/>
        </w:rPr>
        <w:t xml:space="preserve">devait être </w:t>
      </w:r>
      <w:r w:rsidR="00D7554A" w:rsidRPr="009A1105">
        <w:rPr>
          <w:rFonts w:ascii="Arial" w:hAnsi="Arial" w:cs="Arial"/>
          <w:sz w:val="19"/>
          <w:szCs w:val="19"/>
          <w:lang w:val="fr-BE"/>
        </w:rPr>
        <w:t>l’accord commercial le plus ambitieux jamais </w:t>
      </w:r>
      <w:r w:rsidR="0003677F" w:rsidRPr="009A1105">
        <w:rPr>
          <w:rFonts w:ascii="Arial" w:hAnsi="Arial" w:cs="Arial"/>
          <w:sz w:val="19"/>
          <w:szCs w:val="19"/>
          <w:lang w:val="fr-BE"/>
        </w:rPr>
        <w:t>conclu</w:t>
      </w:r>
      <w:r w:rsidR="00F6720F" w:rsidRPr="009A1105">
        <w:rPr>
          <w:rFonts w:ascii="Arial" w:hAnsi="Arial" w:cs="Arial"/>
          <w:sz w:val="19"/>
          <w:szCs w:val="19"/>
          <w:lang w:val="fr-BE"/>
        </w:rPr>
        <w:t> : i</w:t>
      </w:r>
      <w:r w:rsidR="00D7554A" w:rsidRPr="009A1105">
        <w:rPr>
          <w:rFonts w:ascii="Arial" w:hAnsi="Arial" w:cs="Arial"/>
          <w:sz w:val="19"/>
          <w:szCs w:val="19"/>
          <w:lang w:val="fr-BE"/>
        </w:rPr>
        <w:t xml:space="preserve">l apporterait une </w:t>
      </w:r>
      <w:r w:rsidR="00F6720F" w:rsidRPr="009A1105">
        <w:rPr>
          <w:rFonts w:ascii="Arial" w:hAnsi="Arial" w:cs="Arial"/>
          <w:sz w:val="19"/>
          <w:szCs w:val="19"/>
          <w:lang w:val="fr-BE"/>
        </w:rPr>
        <w:t>croissance additionnelle de 0.5%,</w:t>
      </w:r>
      <w:r w:rsidR="00D7554A" w:rsidRPr="009A1105">
        <w:rPr>
          <w:rFonts w:ascii="Arial" w:hAnsi="Arial" w:cs="Arial"/>
          <w:sz w:val="19"/>
          <w:szCs w:val="19"/>
          <w:lang w:val="fr-BE"/>
        </w:rPr>
        <w:t xml:space="preserve"> augmenterait le revenu des familles et créerait </w:t>
      </w:r>
      <w:r w:rsidR="0003677F" w:rsidRPr="009A1105">
        <w:rPr>
          <w:rFonts w:ascii="Arial" w:hAnsi="Arial" w:cs="Arial"/>
          <w:sz w:val="19"/>
          <w:szCs w:val="19"/>
          <w:lang w:val="fr-BE"/>
        </w:rPr>
        <w:t>de l’emploi. Les effets positif</w:t>
      </w:r>
      <w:r w:rsidR="00D7554A" w:rsidRPr="009A1105">
        <w:rPr>
          <w:rFonts w:ascii="Arial" w:hAnsi="Arial" w:cs="Arial"/>
          <w:sz w:val="19"/>
          <w:szCs w:val="19"/>
          <w:lang w:val="fr-BE"/>
        </w:rPr>
        <w:t>s résulterai</w:t>
      </w:r>
      <w:r w:rsidR="0003677F" w:rsidRPr="009A1105">
        <w:rPr>
          <w:rFonts w:ascii="Arial" w:hAnsi="Arial" w:cs="Arial"/>
          <w:sz w:val="19"/>
          <w:szCs w:val="19"/>
          <w:lang w:val="fr-BE"/>
        </w:rPr>
        <w:t>en</w:t>
      </w:r>
      <w:r w:rsidR="00D7554A" w:rsidRPr="009A1105">
        <w:rPr>
          <w:rFonts w:ascii="Arial" w:hAnsi="Arial" w:cs="Arial"/>
          <w:sz w:val="19"/>
          <w:szCs w:val="19"/>
          <w:lang w:val="fr-BE"/>
        </w:rPr>
        <w:t>t de l’enlèvement des « barrières non-tarifaires »,</w:t>
      </w:r>
      <w:r w:rsidR="00F6720F" w:rsidRPr="009A1105">
        <w:rPr>
          <w:rFonts w:ascii="Arial" w:hAnsi="Arial" w:cs="Arial"/>
          <w:sz w:val="19"/>
          <w:szCs w:val="19"/>
          <w:lang w:val="fr-BE"/>
        </w:rPr>
        <w:t xml:space="preserve"> c-à-d l</w:t>
      </w:r>
      <w:r w:rsidR="0003677F" w:rsidRPr="009A1105">
        <w:rPr>
          <w:rFonts w:ascii="Arial" w:hAnsi="Arial" w:cs="Arial"/>
          <w:sz w:val="19"/>
          <w:szCs w:val="19"/>
          <w:lang w:val="fr-BE"/>
        </w:rPr>
        <w:t xml:space="preserve">es entraves qui résultent </w:t>
      </w:r>
      <w:r w:rsidR="009D7E6A">
        <w:rPr>
          <w:rFonts w:ascii="Arial" w:hAnsi="Arial" w:cs="Arial"/>
          <w:sz w:val="19"/>
          <w:szCs w:val="19"/>
          <w:lang w:val="fr-BE"/>
        </w:rPr>
        <w:t xml:space="preserve">des </w:t>
      </w:r>
      <w:r w:rsidR="0003677F" w:rsidRPr="009A1105">
        <w:rPr>
          <w:rFonts w:ascii="Arial" w:hAnsi="Arial" w:cs="Arial"/>
          <w:sz w:val="19"/>
          <w:szCs w:val="19"/>
          <w:lang w:val="fr-BE"/>
        </w:rPr>
        <w:t>di</w:t>
      </w:r>
      <w:r w:rsidR="00F6720F" w:rsidRPr="009A1105">
        <w:rPr>
          <w:rFonts w:ascii="Arial" w:hAnsi="Arial" w:cs="Arial"/>
          <w:sz w:val="19"/>
          <w:szCs w:val="19"/>
          <w:lang w:val="fr-BE"/>
        </w:rPr>
        <w:t>fférence</w:t>
      </w:r>
      <w:r w:rsidR="009D7E6A">
        <w:rPr>
          <w:rFonts w:ascii="Arial" w:hAnsi="Arial" w:cs="Arial"/>
          <w:sz w:val="19"/>
          <w:szCs w:val="19"/>
          <w:lang w:val="fr-BE"/>
        </w:rPr>
        <w:t>s</w:t>
      </w:r>
      <w:r w:rsidR="00F6720F" w:rsidRPr="009A1105">
        <w:rPr>
          <w:rFonts w:ascii="Arial" w:hAnsi="Arial" w:cs="Arial"/>
          <w:sz w:val="19"/>
          <w:szCs w:val="19"/>
          <w:lang w:val="fr-BE"/>
        </w:rPr>
        <w:t xml:space="preserve"> entre les</w:t>
      </w:r>
      <w:r w:rsidR="00D7554A" w:rsidRPr="009A1105">
        <w:rPr>
          <w:rFonts w:ascii="Arial" w:hAnsi="Arial" w:cs="Arial"/>
          <w:sz w:val="19"/>
          <w:szCs w:val="19"/>
          <w:lang w:val="fr-BE"/>
        </w:rPr>
        <w:t xml:space="preserve"> réglementations</w:t>
      </w:r>
      <w:r w:rsidR="00F6720F" w:rsidRPr="009A1105">
        <w:rPr>
          <w:rFonts w:ascii="Arial" w:hAnsi="Arial" w:cs="Arial"/>
          <w:sz w:val="19"/>
          <w:szCs w:val="19"/>
          <w:lang w:val="fr-BE"/>
        </w:rPr>
        <w:t xml:space="preserve"> UE et US</w:t>
      </w:r>
      <w:r w:rsidR="00D7554A" w:rsidRPr="009A1105">
        <w:rPr>
          <w:rFonts w:ascii="Arial" w:hAnsi="Arial" w:cs="Arial"/>
          <w:sz w:val="19"/>
          <w:szCs w:val="19"/>
          <w:lang w:val="fr-BE"/>
        </w:rPr>
        <w:t xml:space="preserve">. </w:t>
      </w:r>
      <w:r w:rsidR="0003677F" w:rsidRPr="009A1105">
        <w:rPr>
          <w:rFonts w:ascii="Arial" w:hAnsi="Arial" w:cs="Arial"/>
          <w:sz w:val="19"/>
          <w:szCs w:val="19"/>
          <w:lang w:val="fr-BE"/>
        </w:rPr>
        <w:t xml:space="preserve">Le </w:t>
      </w:r>
      <w:r w:rsidR="00D7554A" w:rsidRPr="009A1105">
        <w:rPr>
          <w:rFonts w:ascii="Arial" w:hAnsi="Arial" w:cs="Arial"/>
          <w:sz w:val="19"/>
          <w:szCs w:val="19"/>
          <w:lang w:val="fr-BE"/>
        </w:rPr>
        <w:t>TTIP imposerait des normes mondiales dont profiterai</w:t>
      </w:r>
      <w:r w:rsidR="0003677F" w:rsidRPr="009A1105">
        <w:rPr>
          <w:rFonts w:ascii="Arial" w:hAnsi="Arial" w:cs="Arial"/>
          <w:sz w:val="19"/>
          <w:szCs w:val="19"/>
          <w:lang w:val="fr-BE"/>
        </w:rPr>
        <w:t>ent aussi les pays tiers, y compris</w:t>
      </w:r>
      <w:r w:rsidR="00D7554A" w:rsidRPr="009A1105">
        <w:rPr>
          <w:rFonts w:ascii="Arial" w:hAnsi="Arial" w:cs="Arial"/>
          <w:sz w:val="19"/>
          <w:szCs w:val="19"/>
          <w:lang w:val="fr-BE"/>
        </w:rPr>
        <w:t xml:space="preserve"> les pays en voie de développement.</w:t>
      </w:r>
    </w:p>
    <w:p w:rsidR="00C5089E" w:rsidRPr="009A1105" w:rsidRDefault="00C5089E" w:rsidP="00C5089E">
      <w:pPr>
        <w:spacing w:line="255" w:lineRule="atLeast"/>
        <w:rPr>
          <w:rFonts w:ascii="Arial" w:hAnsi="Arial" w:cs="Arial"/>
          <w:sz w:val="19"/>
          <w:szCs w:val="19"/>
          <w:lang w:val="fr-BE"/>
        </w:rPr>
      </w:pPr>
    </w:p>
    <w:p w:rsidR="005738B0" w:rsidRPr="009A1105" w:rsidRDefault="00D7554A" w:rsidP="006E4F9E">
      <w:pPr>
        <w:spacing w:after="60" w:line="255" w:lineRule="atLeast"/>
        <w:rPr>
          <w:rFonts w:ascii="Arial" w:hAnsi="Arial" w:cs="Arial"/>
          <w:b/>
          <w:sz w:val="19"/>
          <w:szCs w:val="19"/>
          <w:lang w:val="fr-FR"/>
        </w:rPr>
      </w:pPr>
      <w:r w:rsidRPr="009A1105">
        <w:rPr>
          <w:rFonts w:ascii="Arial" w:hAnsi="Arial" w:cs="Arial"/>
          <w:b/>
          <w:sz w:val="19"/>
          <w:szCs w:val="19"/>
          <w:lang w:val="fr-FR"/>
        </w:rPr>
        <w:t xml:space="preserve">Depuis lors il est </w:t>
      </w:r>
      <w:r w:rsidR="0003677F" w:rsidRPr="009A1105">
        <w:rPr>
          <w:rFonts w:ascii="Arial" w:hAnsi="Arial" w:cs="Arial"/>
          <w:b/>
          <w:sz w:val="19"/>
          <w:szCs w:val="19"/>
          <w:lang w:val="fr-FR"/>
        </w:rPr>
        <w:t>devenu clair</w:t>
      </w:r>
    </w:p>
    <w:p w:rsidR="00D7554A" w:rsidRPr="009A1105" w:rsidRDefault="00D7554A" w:rsidP="00C5089E">
      <w:pPr>
        <w:spacing w:line="255" w:lineRule="atLeast"/>
        <w:rPr>
          <w:rFonts w:ascii="Arial" w:hAnsi="Arial" w:cs="Arial"/>
          <w:sz w:val="19"/>
          <w:szCs w:val="19"/>
          <w:lang w:val="fr-FR"/>
        </w:rPr>
      </w:pPr>
      <w:r w:rsidRPr="009A1105">
        <w:rPr>
          <w:rFonts w:ascii="Arial" w:hAnsi="Arial" w:cs="Arial"/>
          <w:sz w:val="19"/>
          <w:szCs w:val="19"/>
          <w:lang w:val="fr-FR"/>
        </w:rPr>
        <w:t xml:space="preserve">- </w:t>
      </w:r>
      <w:r w:rsidR="004C4C36" w:rsidRPr="009A1105">
        <w:rPr>
          <w:rFonts w:ascii="Arial" w:hAnsi="Arial" w:cs="Arial"/>
          <w:sz w:val="19"/>
          <w:szCs w:val="19"/>
          <w:lang w:val="fr-FR"/>
        </w:rPr>
        <w:t xml:space="preserve">que </w:t>
      </w:r>
      <w:r w:rsidR="0003677F" w:rsidRPr="009A1105">
        <w:rPr>
          <w:rFonts w:ascii="Arial" w:hAnsi="Arial" w:cs="Arial"/>
          <w:sz w:val="19"/>
          <w:szCs w:val="19"/>
          <w:lang w:val="fr-FR"/>
        </w:rPr>
        <w:t>les</w:t>
      </w:r>
      <w:r w:rsidRPr="009A1105">
        <w:rPr>
          <w:rFonts w:ascii="Arial" w:hAnsi="Arial" w:cs="Arial"/>
          <w:sz w:val="19"/>
          <w:szCs w:val="19"/>
          <w:lang w:val="fr-FR"/>
        </w:rPr>
        <w:t xml:space="preserve"> promesse</w:t>
      </w:r>
      <w:r w:rsidR="0003677F" w:rsidRPr="009A1105">
        <w:rPr>
          <w:rFonts w:ascii="Arial" w:hAnsi="Arial" w:cs="Arial"/>
          <w:sz w:val="19"/>
          <w:szCs w:val="19"/>
          <w:lang w:val="fr-FR"/>
        </w:rPr>
        <w:t>s de croissance et création d</w:t>
      </w:r>
      <w:r w:rsidRPr="009A1105">
        <w:rPr>
          <w:rFonts w:ascii="Arial" w:hAnsi="Arial" w:cs="Arial"/>
          <w:sz w:val="19"/>
          <w:szCs w:val="19"/>
          <w:lang w:val="fr-FR"/>
        </w:rPr>
        <w:t>’emploi, même dan</w:t>
      </w:r>
      <w:r w:rsidR="0003677F" w:rsidRPr="009A1105">
        <w:rPr>
          <w:rFonts w:ascii="Arial" w:hAnsi="Arial" w:cs="Arial"/>
          <w:sz w:val="19"/>
          <w:szCs w:val="19"/>
          <w:lang w:val="fr-FR"/>
        </w:rPr>
        <w:t xml:space="preserve">s le scénario le plus ambitieux, </w:t>
      </w:r>
      <w:r w:rsidR="00F32A47">
        <w:rPr>
          <w:rFonts w:ascii="Arial" w:hAnsi="Arial" w:cs="Arial"/>
          <w:sz w:val="19"/>
          <w:szCs w:val="19"/>
          <w:lang w:val="fr-FR"/>
        </w:rPr>
        <w:t xml:space="preserve">sont </w:t>
      </w:r>
      <w:r w:rsidR="0003677F" w:rsidRPr="009A1105">
        <w:rPr>
          <w:rFonts w:ascii="Arial" w:hAnsi="Arial" w:cs="Arial"/>
          <w:sz w:val="19"/>
          <w:szCs w:val="19"/>
          <w:lang w:val="fr-FR"/>
        </w:rPr>
        <w:t>très</w:t>
      </w:r>
      <w:r w:rsidRPr="009A1105">
        <w:rPr>
          <w:rFonts w:ascii="Arial" w:hAnsi="Arial" w:cs="Arial"/>
          <w:sz w:val="19"/>
          <w:szCs w:val="19"/>
          <w:lang w:val="fr-FR"/>
        </w:rPr>
        <w:t xml:space="preserve"> modestes</w:t>
      </w:r>
    </w:p>
    <w:p w:rsidR="00D7554A" w:rsidRPr="009A1105" w:rsidRDefault="00D7554A" w:rsidP="00C5089E">
      <w:pPr>
        <w:spacing w:line="255" w:lineRule="atLeast"/>
        <w:rPr>
          <w:rFonts w:ascii="Arial" w:hAnsi="Arial" w:cs="Arial"/>
          <w:sz w:val="19"/>
          <w:szCs w:val="19"/>
          <w:lang w:val="fr-FR"/>
        </w:rPr>
      </w:pPr>
      <w:r w:rsidRPr="009A1105">
        <w:rPr>
          <w:rFonts w:ascii="Arial" w:hAnsi="Arial" w:cs="Arial"/>
          <w:sz w:val="19"/>
          <w:szCs w:val="19"/>
          <w:lang w:val="fr-FR"/>
        </w:rPr>
        <w:t xml:space="preserve">- </w:t>
      </w:r>
      <w:r w:rsidR="004C4C36" w:rsidRPr="009A1105">
        <w:rPr>
          <w:rFonts w:ascii="Arial" w:hAnsi="Arial" w:cs="Arial"/>
          <w:sz w:val="19"/>
          <w:szCs w:val="19"/>
          <w:lang w:val="fr-FR"/>
        </w:rPr>
        <w:t xml:space="preserve">que </w:t>
      </w:r>
      <w:r w:rsidRPr="009A1105">
        <w:rPr>
          <w:rFonts w:ascii="Arial" w:hAnsi="Arial" w:cs="Arial"/>
          <w:sz w:val="19"/>
          <w:szCs w:val="19"/>
          <w:lang w:val="fr-FR"/>
        </w:rPr>
        <w:t>les études d’impacts montrent des résultats divergents.</w:t>
      </w:r>
      <w:r w:rsidR="004C4C36" w:rsidRPr="009A1105">
        <w:rPr>
          <w:rFonts w:ascii="Arial" w:hAnsi="Arial" w:cs="Arial"/>
          <w:sz w:val="19"/>
          <w:szCs w:val="19"/>
          <w:lang w:val="fr-FR"/>
        </w:rPr>
        <w:t xml:space="preserve"> Elles montrent de</w:t>
      </w:r>
      <w:r w:rsidR="0003677F" w:rsidRPr="009A1105">
        <w:rPr>
          <w:rFonts w:ascii="Arial" w:hAnsi="Arial" w:cs="Arial"/>
          <w:sz w:val="19"/>
          <w:szCs w:val="19"/>
          <w:lang w:val="fr-FR"/>
        </w:rPr>
        <w:t>s</w:t>
      </w:r>
      <w:r w:rsidR="004C4C36" w:rsidRPr="009A1105">
        <w:rPr>
          <w:rFonts w:ascii="Arial" w:hAnsi="Arial" w:cs="Arial"/>
          <w:sz w:val="19"/>
          <w:szCs w:val="19"/>
          <w:lang w:val="fr-FR"/>
        </w:rPr>
        <w:t xml:space="preserve"> différences substantielles</w:t>
      </w:r>
      <w:r w:rsidRPr="009A1105">
        <w:rPr>
          <w:rFonts w:ascii="Arial" w:hAnsi="Arial" w:cs="Arial"/>
          <w:sz w:val="19"/>
          <w:szCs w:val="19"/>
          <w:lang w:val="fr-FR"/>
        </w:rPr>
        <w:t xml:space="preserve"> entre les pays membres de l’UE</w:t>
      </w:r>
      <w:r w:rsidR="0003677F" w:rsidRPr="009A1105">
        <w:rPr>
          <w:rFonts w:ascii="Arial" w:hAnsi="Arial" w:cs="Arial"/>
          <w:sz w:val="19"/>
          <w:szCs w:val="19"/>
          <w:lang w:val="fr-FR"/>
        </w:rPr>
        <w:t xml:space="preserve">. De plus, </w:t>
      </w:r>
      <w:r w:rsidR="004C4C36" w:rsidRPr="009A1105">
        <w:rPr>
          <w:rFonts w:ascii="Arial" w:hAnsi="Arial" w:cs="Arial"/>
          <w:sz w:val="19"/>
          <w:szCs w:val="19"/>
          <w:lang w:val="fr-FR"/>
        </w:rPr>
        <w:t xml:space="preserve">la </w:t>
      </w:r>
      <w:r w:rsidR="00F6720F" w:rsidRPr="009A1105">
        <w:rPr>
          <w:rFonts w:ascii="Arial" w:hAnsi="Arial" w:cs="Arial"/>
          <w:sz w:val="19"/>
          <w:szCs w:val="19"/>
          <w:lang w:val="fr-FR"/>
        </w:rPr>
        <w:t>Belgique se retrouve souvent soit parmi</w:t>
      </w:r>
      <w:r w:rsidR="004C4C36" w:rsidRPr="009A1105">
        <w:rPr>
          <w:rFonts w:ascii="Arial" w:hAnsi="Arial" w:cs="Arial"/>
          <w:sz w:val="19"/>
          <w:szCs w:val="19"/>
          <w:lang w:val="fr-FR"/>
        </w:rPr>
        <w:t xml:space="preserve"> les pays qui </w:t>
      </w:r>
      <w:r w:rsidR="0003677F" w:rsidRPr="009A1105">
        <w:rPr>
          <w:rFonts w:ascii="Arial" w:hAnsi="Arial" w:cs="Arial"/>
          <w:sz w:val="19"/>
          <w:szCs w:val="19"/>
          <w:lang w:val="fr-FR"/>
        </w:rPr>
        <w:t xml:space="preserve">en </w:t>
      </w:r>
      <w:r w:rsidR="004C4C36" w:rsidRPr="009A1105">
        <w:rPr>
          <w:rFonts w:ascii="Arial" w:hAnsi="Arial" w:cs="Arial"/>
          <w:sz w:val="19"/>
          <w:szCs w:val="19"/>
          <w:lang w:val="fr-FR"/>
        </w:rPr>
        <w:t>bénéficie</w:t>
      </w:r>
      <w:r w:rsidR="0003677F" w:rsidRPr="009A1105">
        <w:rPr>
          <w:rFonts w:ascii="Arial" w:hAnsi="Arial" w:cs="Arial"/>
          <w:sz w:val="19"/>
          <w:szCs w:val="19"/>
          <w:lang w:val="fr-FR"/>
        </w:rPr>
        <w:t>ro</w:t>
      </w:r>
      <w:r w:rsidR="004C4C36" w:rsidRPr="009A1105">
        <w:rPr>
          <w:rFonts w:ascii="Arial" w:hAnsi="Arial" w:cs="Arial"/>
          <w:sz w:val="19"/>
          <w:szCs w:val="19"/>
          <w:lang w:val="fr-FR"/>
        </w:rPr>
        <w:t>nt le moi</w:t>
      </w:r>
      <w:r w:rsidR="0003677F" w:rsidRPr="009A1105">
        <w:rPr>
          <w:rFonts w:ascii="Arial" w:hAnsi="Arial" w:cs="Arial"/>
          <w:sz w:val="19"/>
          <w:szCs w:val="19"/>
          <w:lang w:val="fr-FR"/>
        </w:rPr>
        <w:t>n</w:t>
      </w:r>
      <w:r w:rsidR="00F6720F" w:rsidRPr="009A1105">
        <w:rPr>
          <w:rFonts w:ascii="Arial" w:hAnsi="Arial" w:cs="Arial"/>
          <w:sz w:val="19"/>
          <w:szCs w:val="19"/>
          <w:lang w:val="fr-FR"/>
        </w:rPr>
        <w:t>s, soit parmi ceux qui y</w:t>
      </w:r>
      <w:r w:rsidR="0003677F" w:rsidRPr="009A1105">
        <w:rPr>
          <w:rFonts w:ascii="Arial" w:hAnsi="Arial" w:cs="Arial"/>
          <w:sz w:val="19"/>
          <w:szCs w:val="19"/>
          <w:lang w:val="fr-FR"/>
        </w:rPr>
        <w:t xml:space="preserve"> perdro</w:t>
      </w:r>
      <w:r w:rsidR="004C4C36" w:rsidRPr="009A1105">
        <w:rPr>
          <w:rFonts w:ascii="Arial" w:hAnsi="Arial" w:cs="Arial"/>
          <w:sz w:val="19"/>
          <w:szCs w:val="19"/>
          <w:lang w:val="fr-FR"/>
        </w:rPr>
        <w:t>nt le plus.</w:t>
      </w:r>
    </w:p>
    <w:p w:rsidR="004C4C36" w:rsidRPr="009A1105" w:rsidRDefault="0003677F" w:rsidP="00C5089E">
      <w:pPr>
        <w:spacing w:line="255" w:lineRule="atLeast"/>
        <w:rPr>
          <w:rFonts w:ascii="Arial" w:hAnsi="Arial" w:cs="Arial"/>
          <w:sz w:val="19"/>
          <w:szCs w:val="19"/>
          <w:lang w:val="fr-FR"/>
        </w:rPr>
      </w:pPr>
      <w:r w:rsidRPr="009A1105">
        <w:rPr>
          <w:rFonts w:ascii="Arial" w:hAnsi="Arial" w:cs="Arial"/>
          <w:sz w:val="19"/>
          <w:szCs w:val="19"/>
          <w:lang w:val="fr-FR"/>
        </w:rPr>
        <w:t>- que la convergence réglementaire</w:t>
      </w:r>
      <w:r w:rsidR="004C4C36" w:rsidRPr="009A1105">
        <w:rPr>
          <w:rFonts w:ascii="Arial" w:hAnsi="Arial" w:cs="Arial"/>
          <w:sz w:val="19"/>
          <w:szCs w:val="19"/>
          <w:lang w:val="fr-FR"/>
        </w:rPr>
        <w:t xml:space="preserve"> ne mène pas à la </w:t>
      </w:r>
      <w:r w:rsidRPr="009A1105">
        <w:rPr>
          <w:rFonts w:ascii="Arial" w:hAnsi="Arial" w:cs="Arial"/>
          <w:sz w:val="19"/>
          <w:szCs w:val="19"/>
          <w:lang w:val="fr-FR"/>
        </w:rPr>
        <w:t>consolidation des normes et standards les plus élevés</w:t>
      </w:r>
      <w:r w:rsidR="004C4C36" w:rsidRPr="009A1105">
        <w:rPr>
          <w:rFonts w:ascii="Arial" w:hAnsi="Arial" w:cs="Arial"/>
          <w:sz w:val="19"/>
          <w:szCs w:val="19"/>
          <w:lang w:val="fr-FR"/>
        </w:rPr>
        <w:t xml:space="preserve"> (</w:t>
      </w:r>
      <w:r w:rsidRPr="009A1105">
        <w:rPr>
          <w:rFonts w:ascii="Arial" w:hAnsi="Arial" w:cs="Arial"/>
          <w:sz w:val="19"/>
          <w:szCs w:val="19"/>
          <w:lang w:val="fr-FR"/>
        </w:rPr>
        <w:t xml:space="preserve">ceux </w:t>
      </w:r>
      <w:r w:rsidR="004C4C36" w:rsidRPr="009A1105">
        <w:rPr>
          <w:rFonts w:ascii="Arial" w:hAnsi="Arial" w:cs="Arial"/>
          <w:sz w:val="19"/>
          <w:szCs w:val="19"/>
          <w:lang w:val="fr-FR"/>
        </w:rPr>
        <w:t>qui offrent la protection la plus adéquate des consommateurs, de l’env</w:t>
      </w:r>
      <w:r w:rsidRPr="009A1105">
        <w:rPr>
          <w:rFonts w:ascii="Arial" w:hAnsi="Arial" w:cs="Arial"/>
          <w:sz w:val="19"/>
          <w:szCs w:val="19"/>
          <w:lang w:val="fr-FR"/>
        </w:rPr>
        <w:t>ironnement, du</w:t>
      </w:r>
      <w:r w:rsidR="004C4C36" w:rsidRPr="009A1105">
        <w:rPr>
          <w:rFonts w:ascii="Arial" w:hAnsi="Arial" w:cs="Arial"/>
          <w:sz w:val="19"/>
          <w:szCs w:val="19"/>
          <w:lang w:val="fr-FR"/>
        </w:rPr>
        <w:t xml:space="preserve"> </w:t>
      </w:r>
      <w:r w:rsidR="008A2404" w:rsidRPr="009A1105">
        <w:rPr>
          <w:rFonts w:ascii="Arial" w:hAnsi="Arial" w:cs="Arial"/>
          <w:sz w:val="19"/>
          <w:szCs w:val="19"/>
          <w:lang w:val="fr-FR"/>
        </w:rPr>
        <w:t>bien-être</w:t>
      </w:r>
      <w:r w:rsidR="004C4C36" w:rsidRPr="009A1105">
        <w:rPr>
          <w:rFonts w:ascii="Arial" w:hAnsi="Arial" w:cs="Arial"/>
          <w:sz w:val="19"/>
          <w:szCs w:val="19"/>
          <w:lang w:val="fr-FR"/>
        </w:rPr>
        <w:t>, etc) mais</w:t>
      </w:r>
      <w:r w:rsidR="00F6720F" w:rsidRPr="009A1105">
        <w:rPr>
          <w:rFonts w:ascii="Arial" w:hAnsi="Arial" w:cs="Arial"/>
          <w:sz w:val="19"/>
          <w:szCs w:val="19"/>
          <w:lang w:val="fr-FR"/>
        </w:rPr>
        <w:t xml:space="preserve"> à la reconnaissance mutuelle</w:t>
      </w:r>
      <w:r w:rsidR="004C4C36" w:rsidRPr="009A1105">
        <w:rPr>
          <w:rFonts w:ascii="Arial" w:hAnsi="Arial" w:cs="Arial"/>
          <w:sz w:val="19"/>
          <w:szCs w:val="19"/>
          <w:lang w:val="fr-FR"/>
        </w:rPr>
        <w:t xml:space="preserve"> des règles et des méthodes d’inspection</w:t>
      </w:r>
      <w:r w:rsidR="00F6720F" w:rsidRPr="009A1105">
        <w:rPr>
          <w:rFonts w:ascii="Arial" w:hAnsi="Arial" w:cs="Arial"/>
          <w:sz w:val="19"/>
          <w:szCs w:val="19"/>
          <w:lang w:val="fr-FR"/>
        </w:rPr>
        <w:t xml:space="preserve"> et d’approbation</w:t>
      </w:r>
      <w:r w:rsidR="004C4C36" w:rsidRPr="009A1105">
        <w:rPr>
          <w:rFonts w:ascii="Arial" w:hAnsi="Arial" w:cs="Arial"/>
          <w:sz w:val="19"/>
          <w:szCs w:val="19"/>
          <w:lang w:val="fr-FR"/>
        </w:rPr>
        <w:t>. Ceci ne mène pas à des normes m</w:t>
      </w:r>
      <w:r w:rsidRPr="009A1105">
        <w:rPr>
          <w:rFonts w:ascii="Arial" w:hAnsi="Arial" w:cs="Arial"/>
          <w:sz w:val="19"/>
          <w:szCs w:val="19"/>
          <w:lang w:val="fr-FR"/>
        </w:rPr>
        <w:t>ondiales consolidées, mais aboutit</w:t>
      </w:r>
      <w:r w:rsidR="008A2404">
        <w:rPr>
          <w:rFonts w:ascii="Arial" w:hAnsi="Arial" w:cs="Arial"/>
          <w:sz w:val="19"/>
          <w:szCs w:val="19"/>
          <w:lang w:val="fr-FR"/>
        </w:rPr>
        <w:t xml:space="preserve"> dans </w:t>
      </w:r>
      <w:r w:rsidR="008A2404" w:rsidRPr="008A2404">
        <w:rPr>
          <w:rFonts w:ascii="Arial" w:hAnsi="Arial" w:cs="Arial"/>
          <w:sz w:val="19"/>
          <w:szCs w:val="19"/>
          <w:lang w:val="fr-FR"/>
        </w:rPr>
        <w:t>la pratique</w:t>
      </w:r>
      <w:r w:rsidRPr="009A1105">
        <w:rPr>
          <w:rFonts w:ascii="Arial" w:hAnsi="Arial" w:cs="Arial"/>
          <w:sz w:val="19"/>
          <w:szCs w:val="19"/>
          <w:lang w:val="fr-FR"/>
        </w:rPr>
        <w:t xml:space="preserve"> au nivelleme</w:t>
      </w:r>
      <w:r w:rsidR="00F6720F" w:rsidRPr="009A1105">
        <w:rPr>
          <w:rFonts w:ascii="Arial" w:hAnsi="Arial" w:cs="Arial"/>
          <w:sz w:val="19"/>
          <w:szCs w:val="19"/>
          <w:lang w:val="fr-FR"/>
        </w:rPr>
        <w:t>nt vers le bas de l’ensemble de ces</w:t>
      </w:r>
      <w:r w:rsidRPr="009A1105">
        <w:rPr>
          <w:rFonts w:ascii="Arial" w:hAnsi="Arial" w:cs="Arial"/>
          <w:sz w:val="19"/>
          <w:szCs w:val="19"/>
          <w:lang w:val="fr-FR"/>
        </w:rPr>
        <w:t xml:space="preserve"> normes</w:t>
      </w:r>
      <w:r w:rsidR="004C4C36" w:rsidRPr="009A1105">
        <w:rPr>
          <w:rFonts w:ascii="Arial" w:hAnsi="Arial" w:cs="Arial"/>
          <w:sz w:val="19"/>
          <w:szCs w:val="19"/>
          <w:lang w:val="fr-FR"/>
        </w:rPr>
        <w:t>.</w:t>
      </w:r>
    </w:p>
    <w:p w:rsidR="004C4C36" w:rsidRPr="009A1105" w:rsidRDefault="004C4C36" w:rsidP="00C5089E">
      <w:pPr>
        <w:spacing w:line="255" w:lineRule="atLeast"/>
        <w:rPr>
          <w:rFonts w:ascii="Arial" w:hAnsi="Arial" w:cs="Arial"/>
          <w:sz w:val="19"/>
          <w:szCs w:val="19"/>
          <w:lang w:val="fr-FR"/>
        </w:rPr>
      </w:pPr>
      <w:r w:rsidRPr="009A1105">
        <w:rPr>
          <w:rFonts w:ascii="Arial" w:hAnsi="Arial" w:cs="Arial"/>
          <w:sz w:val="19"/>
          <w:szCs w:val="19"/>
          <w:lang w:val="fr-FR"/>
        </w:rPr>
        <w:t xml:space="preserve">- que vu </w:t>
      </w:r>
      <w:r w:rsidR="009D64B0" w:rsidRPr="009A1105">
        <w:rPr>
          <w:rFonts w:ascii="Arial" w:hAnsi="Arial" w:cs="Arial"/>
          <w:sz w:val="19"/>
          <w:szCs w:val="19"/>
          <w:lang w:val="fr-FR"/>
        </w:rPr>
        <w:t xml:space="preserve">que </w:t>
      </w:r>
      <w:r w:rsidRPr="009A1105">
        <w:rPr>
          <w:rFonts w:ascii="Arial" w:hAnsi="Arial" w:cs="Arial"/>
          <w:sz w:val="19"/>
          <w:szCs w:val="19"/>
          <w:lang w:val="fr-FR"/>
        </w:rPr>
        <w:t xml:space="preserve">les résultats attendus devaient surtout </w:t>
      </w:r>
      <w:r w:rsidR="0003677F" w:rsidRPr="009A1105">
        <w:rPr>
          <w:rFonts w:ascii="Arial" w:hAnsi="Arial" w:cs="Arial"/>
          <w:sz w:val="19"/>
          <w:szCs w:val="19"/>
          <w:lang w:val="fr-FR"/>
        </w:rPr>
        <w:t>d</w:t>
      </w:r>
      <w:r w:rsidRPr="009A1105">
        <w:rPr>
          <w:rFonts w:ascii="Arial" w:hAnsi="Arial" w:cs="Arial"/>
          <w:sz w:val="19"/>
          <w:szCs w:val="19"/>
          <w:lang w:val="fr-FR"/>
        </w:rPr>
        <w:t>écouler de l’enlèvement des barrières non-tarifaires, la croissance et la création de l’emploi prévues ne se réaliseront pas.</w:t>
      </w:r>
    </w:p>
    <w:p w:rsidR="00D7554A" w:rsidRPr="009A1105" w:rsidRDefault="00D7554A" w:rsidP="00C5089E">
      <w:pPr>
        <w:spacing w:line="255" w:lineRule="atLeast"/>
        <w:rPr>
          <w:rFonts w:ascii="Arial" w:hAnsi="Arial" w:cs="Arial"/>
          <w:sz w:val="19"/>
          <w:szCs w:val="19"/>
          <w:lang w:val="fr-FR"/>
        </w:rPr>
      </w:pPr>
    </w:p>
    <w:p w:rsidR="00D7554A" w:rsidRDefault="004C4C36" w:rsidP="00C5089E">
      <w:pPr>
        <w:spacing w:line="255" w:lineRule="atLeast"/>
        <w:rPr>
          <w:rFonts w:ascii="Arial" w:hAnsi="Arial" w:cs="Arial"/>
          <w:b/>
          <w:sz w:val="19"/>
          <w:szCs w:val="19"/>
          <w:lang w:val="fr-FR"/>
        </w:rPr>
      </w:pPr>
      <w:r w:rsidRPr="009A1105">
        <w:rPr>
          <w:rFonts w:ascii="Arial" w:hAnsi="Arial" w:cs="Arial"/>
          <w:b/>
          <w:sz w:val="19"/>
          <w:szCs w:val="19"/>
          <w:lang w:val="fr-FR"/>
        </w:rPr>
        <w:t>Nous constatons en outre :</w:t>
      </w:r>
    </w:p>
    <w:p w:rsidR="006E4F9E" w:rsidRPr="009A1105" w:rsidRDefault="006E4F9E" w:rsidP="00C5089E">
      <w:pPr>
        <w:spacing w:line="255" w:lineRule="atLeast"/>
        <w:rPr>
          <w:rFonts w:ascii="Arial" w:hAnsi="Arial" w:cs="Arial"/>
          <w:b/>
          <w:sz w:val="19"/>
          <w:szCs w:val="19"/>
          <w:lang w:val="fr-FR"/>
        </w:rPr>
      </w:pPr>
    </w:p>
    <w:p w:rsidR="001A2963" w:rsidRPr="009A1105" w:rsidRDefault="001A2963" w:rsidP="006E4F9E">
      <w:pPr>
        <w:spacing w:after="60" w:line="255" w:lineRule="atLeast"/>
        <w:rPr>
          <w:rFonts w:ascii="Arial" w:hAnsi="Arial" w:cs="Arial"/>
          <w:b/>
          <w:sz w:val="19"/>
          <w:szCs w:val="19"/>
          <w:lang w:val="fr-FR"/>
        </w:rPr>
      </w:pPr>
      <w:r w:rsidRPr="009A1105">
        <w:rPr>
          <w:rFonts w:ascii="Arial" w:hAnsi="Arial" w:cs="Arial"/>
          <w:b/>
          <w:sz w:val="19"/>
          <w:szCs w:val="19"/>
          <w:lang w:val="fr-FR"/>
        </w:rPr>
        <w:t>Concernant la croissance, l’emploi et le travail</w:t>
      </w:r>
    </w:p>
    <w:p w:rsidR="00C5089E" w:rsidRPr="009A1105" w:rsidRDefault="00C5089E" w:rsidP="006E4F9E">
      <w:pPr>
        <w:numPr>
          <w:ilvl w:val="0"/>
          <w:numId w:val="1"/>
        </w:numPr>
        <w:spacing w:after="60" w:line="255" w:lineRule="atLeast"/>
        <w:ind w:left="360" w:hanging="218"/>
        <w:rPr>
          <w:rFonts w:ascii="Arial" w:hAnsi="Arial" w:cs="Arial"/>
          <w:sz w:val="19"/>
          <w:szCs w:val="19"/>
          <w:lang w:val="fr-FR"/>
        </w:rPr>
      </w:pPr>
      <w:r w:rsidRPr="009A1105">
        <w:rPr>
          <w:rFonts w:ascii="Arial" w:hAnsi="Arial" w:cs="Arial"/>
          <w:sz w:val="19"/>
          <w:szCs w:val="19"/>
          <w:lang w:val="fr-FR"/>
        </w:rPr>
        <w:t xml:space="preserve">Le TTIP </w:t>
      </w:r>
      <w:r w:rsidRPr="009A1105">
        <w:rPr>
          <w:rStyle w:val="author-g-hm2k6urjq5ibnejc"/>
          <w:rFonts w:ascii="Arial" w:hAnsi="Arial" w:cs="Arial"/>
          <w:bCs/>
          <w:sz w:val="19"/>
          <w:szCs w:val="19"/>
          <w:lang w:val="fr-FR"/>
        </w:rPr>
        <w:t xml:space="preserve">risque </w:t>
      </w:r>
      <w:r w:rsidRPr="009A1105">
        <w:rPr>
          <w:rStyle w:val="author-g-bmsh6e7h2v8d1tqt"/>
          <w:rFonts w:ascii="Arial" w:hAnsi="Arial" w:cs="Arial"/>
          <w:bCs/>
          <w:sz w:val="19"/>
          <w:szCs w:val="19"/>
          <w:lang w:val="fr-FR"/>
        </w:rPr>
        <w:t>de</w:t>
      </w:r>
      <w:r w:rsidRPr="009A1105">
        <w:rPr>
          <w:rStyle w:val="author-g-hm2k6urjq5ibnejc"/>
          <w:rFonts w:ascii="Arial" w:hAnsi="Arial" w:cs="Arial"/>
          <w:bCs/>
          <w:sz w:val="19"/>
          <w:szCs w:val="19"/>
          <w:lang w:val="fr-FR"/>
        </w:rPr>
        <w:t xml:space="preserve"> </w:t>
      </w:r>
      <w:r w:rsidRPr="009A1105">
        <w:rPr>
          <w:rStyle w:val="b"/>
          <w:rFonts w:ascii="Arial" w:hAnsi="Arial" w:cs="Arial"/>
          <w:bCs/>
          <w:sz w:val="19"/>
          <w:szCs w:val="19"/>
          <w:lang w:val="fr-FR"/>
        </w:rPr>
        <w:t>détruir</w:t>
      </w:r>
      <w:r w:rsidRPr="009A1105">
        <w:rPr>
          <w:rStyle w:val="author-g-hm2k6urjq5ibnejc"/>
          <w:rFonts w:ascii="Arial" w:hAnsi="Arial" w:cs="Arial"/>
          <w:bCs/>
          <w:sz w:val="19"/>
          <w:szCs w:val="19"/>
          <w:lang w:val="fr-FR"/>
        </w:rPr>
        <w:t>e</w:t>
      </w:r>
      <w:r w:rsidRPr="009A1105">
        <w:rPr>
          <w:rStyle w:val="b"/>
          <w:rFonts w:ascii="Arial" w:hAnsi="Arial" w:cs="Arial"/>
          <w:bCs/>
          <w:sz w:val="19"/>
          <w:szCs w:val="19"/>
          <w:lang w:val="fr-FR"/>
        </w:rPr>
        <w:t xml:space="preserve"> 600.000 emplois</w:t>
      </w:r>
      <w:r w:rsidRPr="009A1105">
        <w:rPr>
          <w:rStyle w:val="b"/>
          <w:rFonts w:ascii="Arial" w:hAnsi="Arial" w:cs="Arial"/>
          <w:b/>
          <w:bCs/>
          <w:sz w:val="19"/>
          <w:szCs w:val="19"/>
          <w:lang w:val="fr-FR"/>
        </w:rPr>
        <w:t xml:space="preserve"> </w:t>
      </w:r>
      <w:r w:rsidRPr="009A1105">
        <w:rPr>
          <w:rFonts w:ascii="Arial" w:hAnsi="Arial" w:cs="Arial"/>
          <w:sz w:val="19"/>
          <w:szCs w:val="19"/>
          <w:lang w:val="fr-FR"/>
        </w:rPr>
        <w:t xml:space="preserve">en Europe et </w:t>
      </w:r>
      <w:r w:rsidRPr="009A1105">
        <w:rPr>
          <w:rStyle w:val="author-g-hm2k6urjq5ibnejc"/>
          <w:rFonts w:ascii="Arial" w:hAnsi="Arial" w:cs="Arial"/>
          <w:sz w:val="19"/>
          <w:szCs w:val="19"/>
          <w:lang w:val="fr-FR"/>
        </w:rPr>
        <w:t>pourra</w:t>
      </w:r>
      <w:r w:rsidR="009D64B0" w:rsidRPr="009A1105">
        <w:rPr>
          <w:rStyle w:val="author-g-hm2k6urjq5ibnejc"/>
          <w:rFonts w:ascii="Arial" w:hAnsi="Arial" w:cs="Arial"/>
          <w:sz w:val="19"/>
          <w:szCs w:val="19"/>
          <w:lang w:val="fr-FR"/>
        </w:rPr>
        <w:t>it</w:t>
      </w:r>
      <w:r w:rsidRPr="009A1105">
        <w:rPr>
          <w:rStyle w:val="author-g-hm2k6urjq5ibnejc"/>
          <w:rFonts w:ascii="Arial" w:hAnsi="Arial" w:cs="Arial"/>
          <w:sz w:val="19"/>
          <w:szCs w:val="19"/>
          <w:lang w:val="fr-FR"/>
        </w:rPr>
        <w:t xml:space="preserve"> </w:t>
      </w:r>
      <w:r w:rsidRPr="009A1105">
        <w:rPr>
          <w:rFonts w:ascii="Arial" w:hAnsi="Arial" w:cs="Arial"/>
          <w:sz w:val="19"/>
          <w:szCs w:val="19"/>
          <w:lang w:val="fr-FR"/>
        </w:rPr>
        <w:t xml:space="preserve">amputer les revenus des travailleurs de plus de 4000€ par an. </w:t>
      </w:r>
      <w:r w:rsidRPr="009A1105">
        <w:rPr>
          <w:rStyle w:val="author-g-hm2k6urjq5ibnejc"/>
          <w:rFonts w:ascii="Arial" w:hAnsi="Arial" w:cs="Arial"/>
          <w:sz w:val="19"/>
          <w:szCs w:val="19"/>
          <w:lang w:val="fr-FR"/>
        </w:rPr>
        <w:t>Les pertes potentielles pour la Belgique, tout comme pour les Pays-Bas et la Finlande s</w:t>
      </w:r>
      <w:r w:rsidR="00EF0011" w:rsidRPr="009A1105">
        <w:rPr>
          <w:rStyle w:val="author-g-hm2k6urjq5ibnejc"/>
          <w:rFonts w:ascii="Arial" w:hAnsi="Arial" w:cs="Arial"/>
          <w:sz w:val="19"/>
          <w:szCs w:val="19"/>
          <w:lang w:val="fr-FR"/>
        </w:rPr>
        <w:t>eraient</w:t>
      </w:r>
      <w:r w:rsidRPr="009A1105">
        <w:rPr>
          <w:rStyle w:val="author-g-hm2k6urjq5ibnejc"/>
          <w:rFonts w:ascii="Arial" w:hAnsi="Arial" w:cs="Arial"/>
          <w:sz w:val="19"/>
          <w:szCs w:val="19"/>
          <w:lang w:val="fr-FR"/>
        </w:rPr>
        <w:t xml:space="preserve"> proportionnellement encore plus importantes. Ces 3 pays </w:t>
      </w:r>
      <w:r w:rsidR="00AF0353" w:rsidRPr="009A1105">
        <w:rPr>
          <w:rStyle w:val="author-g-hm2k6urjq5ibnejc"/>
          <w:rFonts w:ascii="Arial" w:hAnsi="Arial" w:cs="Arial"/>
          <w:sz w:val="19"/>
          <w:szCs w:val="19"/>
          <w:lang w:val="fr-FR"/>
        </w:rPr>
        <w:t>perdront</w:t>
      </w:r>
      <w:r w:rsidRPr="009A1105">
        <w:rPr>
          <w:rStyle w:val="author-g-hm2k6urjq5ibnejc"/>
          <w:rFonts w:ascii="Arial" w:hAnsi="Arial" w:cs="Arial"/>
          <w:sz w:val="19"/>
          <w:szCs w:val="19"/>
          <w:lang w:val="fr-FR"/>
        </w:rPr>
        <w:t xml:space="preserve"> à eux seuls 223.000 emplois</w:t>
      </w:r>
      <w:r w:rsidRPr="009A1105">
        <w:rPr>
          <w:rStyle w:val="author-g-bmsh6e7h2v8d1tqt"/>
          <w:rFonts w:ascii="Arial" w:hAnsi="Arial" w:cs="Arial"/>
          <w:sz w:val="19"/>
          <w:szCs w:val="19"/>
          <w:lang w:val="fr-FR"/>
        </w:rPr>
        <w:t xml:space="preserve"> et plus de 4800€ par travailleur,</w:t>
      </w:r>
      <w:r w:rsidRPr="009A1105">
        <w:rPr>
          <w:rStyle w:val="author-g-hm2k6urjq5ibnejc"/>
          <w:rFonts w:ascii="Arial" w:hAnsi="Arial" w:cs="Arial"/>
          <w:sz w:val="19"/>
          <w:szCs w:val="19"/>
          <w:lang w:val="fr-FR"/>
        </w:rPr>
        <w:t xml:space="preserve"> selon des simulations sur base du modèle de politique globale des Nations Unis</w:t>
      </w:r>
      <w:r w:rsidR="00EF0011" w:rsidRPr="009A1105">
        <w:rPr>
          <w:rStyle w:val="author-g-hm2k6urjq5ibnejc"/>
          <w:rFonts w:ascii="Arial" w:hAnsi="Arial" w:cs="Arial"/>
          <w:sz w:val="19"/>
          <w:szCs w:val="19"/>
          <w:lang w:val="fr-FR"/>
        </w:rPr>
        <w:t xml:space="preserve"> (ce qui </w:t>
      </w:r>
      <w:r w:rsidR="00AF0353" w:rsidRPr="009A1105">
        <w:rPr>
          <w:rStyle w:val="author-g-hm2k6urjq5ibnejc"/>
          <w:rFonts w:ascii="Arial" w:hAnsi="Arial" w:cs="Arial"/>
          <w:sz w:val="19"/>
          <w:szCs w:val="19"/>
          <w:lang w:val="fr-FR"/>
        </w:rPr>
        <w:t>proportionnellement</w:t>
      </w:r>
      <w:r w:rsidR="00EF0011" w:rsidRPr="009A1105">
        <w:rPr>
          <w:rStyle w:val="author-g-hm2k6urjq5ibnejc"/>
          <w:rFonts w:ascii="Arial" w:hAnsi="Arial" w:cs="Arial"/>
          <w:sz w:val="19"/>
          <w:szCs w:val="19"/>
          <w:lang w:val="fr-FR"/>
        </w:rPr>
        <w:t xml:space="preserve"> pourrait </w:t>
      </w:r>
      <w:r w:rsidR="00AF0353" w:rsidRPr="009A1105">
        <w:rPr>
          <w:rStyle w:val="author-g-hm2k6urjq5ibnejc"/>
          <w:rFonts w:ascii="Arial" w:hAnsi="Arial" w:cs="Arial"/>
          <w:sz w:val="19"/>
          <w:szCs w:val="19"/>
          <w:lang w:val="fr-FR"/>
        </w:rPr>
        <w:t>signifier</w:t>
      </w:r>
      <w:r w:rsidR="00EF0011" w:rsidRPr="009A1105">
        <w:rPr>
          <w:rStyle w:val="author-g-hm2k6urjq5ibnejc"/>
          <w:rFonts w:ascii="Arial" w:hAnsi="Arial" w:cs="Arial"/>
          <w:sz w:val="19"/>
          <w:szCs w:val="19"/>
          <w:lang w:val="fr-FR"/>
        </w:rPr>
        <w:t xml:space="preserve"> </w:t>
      </w:r>
      <w:r w:rsidR="00533FAD">
        <w:rPr>
          <w:rStyle w:val="author-g-hm2k6urjq5ibnejc"/>
          <w:rFonts w:ascii="Arial" w:hAnsi="Arial" w:cs="Arial"/>
          <w:sz w:val="19"/>
          <w:szCs w:val="19"/>
          <w:lang w:val="fr-FR"/>
        </w:rPr>
        <w:t xml:space="preserve">environ </w:t>
      </w:r>
      <w:r w:rsidR="00EF0011" w:rsidRPr="009A1105">
        <w:rPr>
          <w:rStyle w:val="author-g-hm2k6urjq5ibnejc"/>
          <w:rFonts w:ascii="Arial" w:hAnsi="Arial" w:cs="Arial"/>
          <w:sz w:val="19"/>
          <w:szCs w:val="19"/>
          <w:lang w:val="fr-FR"/>
        </w:rPr>
        <w:t xml:space="preserve">66.000 emploi en </w:t>
      </w:r>
      <w:r w:rsidR="006F486E" w:rsidRPr="009A1105">
        <w:rPr>
          <w:rStyle w:val="author-g-hm2k6urjq5ibnejc"/>
          <w:rFonts w:ascii="Arial" w:hAnsi="Arial" w:cs="Arial"/>
          <w:sz w:val="19"/>
          <w:szCs w:val="19"/>
          <w:lang w:val="fr-FR"/>
        </w:rPr>
        <w:t>Belgique)</w:t>
      </w:r>
      <w:r w:rsidR="009D7E6A">
        <w:rPr>
          <w:rStyle w:val="Appelnotedebasdep"/>
          <w:rFonts w:ascii="Arial" w:hAnsi="Arial" w:cs="Arial"/>
          <w:sz w:val="19"/>
          <w:szCs w:val="19"/>
          <w:lang w:val="fr-FR"/>
        </w:rPr>
        <w:footnoteReference w:id="1"/>
      </w:r>
      <w:r w:rsidR="00124B5E" w:rsidRPr="009A1105">
        <w:rPr>
          <w:rFonts w:ascii="Arial" w:hAnsi="Arial" w:cs="Arial"/>
          <w:sz w:val="19"/>
          <w:szCs w:val="19"/>
          <w:lang w:val="fr-FR"/>
        </w:rPr>
        <w:t xml:space="preserve"> </w:t>
      </w:r>
    </w:p>
    <w:p w:rsidR="00285B30" w:rsidRDefault="00533FAD" w:rsidP="006E4F9E">
      <w:pPr>
        <w:numPr>
          <w:ilvl w:val="0"/>
          <w:numId w:val="2"/>
        </w:numPr>
        <w:spacing w:after="60" w:line="255" w:lineRule="atLeast"/>
        <w:ind w:left="360" w:hanging="218"/>
        <w:rPr>
          <w:rFonts w:ascii="Arial" w:hAnsi="Arial" w:cs="Arial"/>
          <w:sz w:val="19"/>
          <w:szCs w:val="19"/>
          <w:lang w:val="fr-FR"/>
        </w:rPr>
      </w:pPr>
      <w:r>
        <w:rPr>
          <w:rFonts w:ascii="Arial" w:hAnsi="Arial" w:cs="Arial"/>
          <w:sz w:val="19"/>
          <w:szCs w:val="19"/>
          <w:lang w:val="fr-FR"/>
        </w:rPr>
        <w:t xml:space="preserve">Les USA n’ont ratifié que 14 </w:t>
      </w:r>
      <w:r w:rsidR="00C5089E" w:rsidRPr="009A1105">
        <w:rPr>
          <w:rFonts w:ascii="Arial" w:hAnsi="Arial" w:cs="Arial"/>
          <w:sz w:val="19"/>
          <w:szCs w:val="19"/>
          <w:lang w:val="fr-FR"/>
        </w:rPr>
        <w:t>conventions de l'OIT</w:t>
      </w:r>
      <w:r>
        <w:rPr>
          <w:rFonts w:ascii="Arial" w:hAnsi="Arial" w:cs="Arial"/>
          <w:sz w:val="19"/>
          <w:szCs w:val="19"/>
          <w:lang w:val="fr-FR"/>
        </w:rPr>
        <w:t>,</w:t>
      </w:r>
      <w:r w:rsidR="00C5089E" w:rsidRPr="009A1105">
        <w:rPr>
          <w:rFonts w:ascii="Arial" w:hAnsi="Arial" w:cs="Arial"/>
          <w:sz w:val="19"/>
          <w:szCs w:val="19"/>
          <w:lang w:val="fr-FR"/>
        </w:rPr>
        <w:t xml:space="preserve"> dont 2 </w:t>
      </w:r>
      <w:r w:rsidR="00E92DBC" w:rsidRPr="009A1105">
        <w:rPr>
          <w:rFonts w:ascii="Arial" w:hAnsi="Arial" w:cs="Arial"/>
          <w:sz w:val="19"/>
          <w:szCs w:val="19"/>
          <w:lang w:val="fr-FR"/>
        </w:rPr>
        <w:t>des 8 conventions fondamentales</w:t>
      </w:r>
      <w:r w:rsidR="00C5089E" w:rsidRPr="009A1105">
        <w:rPr>
          <w:rFonts w:ascii="Arial" w:hAnsi="Arial" w:cs="Arial"/>
          <w:sz w:val="19"/>
          <w:szCs w:val="19"/>
          <w:lang w:val="fr-FR"/>
        </w:rPr>
        <w:t xml:space="preserve">, </w:t>
      </w:r>
      <w:r w:rsidR="009D64B0" w:rsidRPr="009A1105">
        <w:rPr>
          <w:rFonts w:ascii="Arial" w:hAnsi="Arial" w:cs="Arial"/>
          <w:sz w:val="19"/>
          <w:szCs w:val="19"/>
          <w:lang w:val="fr-FR"/>
        </w:rPr>
        <w:t>contre</w:t>
      </w:r>
      <w:r w:rsidR="00EF0011" w:rsidRPr="009A1105">
        <w:rPr>
          <w:rFonts w:ascii="Arial" w:hAnsi="Arial" w:cs="Arial"/>
          <w:sz w:val="19"/>
          <w:szCs w:val="19"/>
          <w:lang w:val="fr-FR"/>
        </w:rPr>
        <w:t xml:space="preserve"> 80 en moyenne pour les</w:t>
      </w:r>
      <w:r w:rsidR="009D64B0" w:rsidRPr="009A1105">
        <w:rPr>
          <w:rFonts w:ascii="Arial" w:hAnsi="Arial" w:cs="Arial"/>
          <w:sz w:val="19"/>
          <w:szCs w:val="19"/>
          <w:lang w:val="fr-FR"/>
        </w:rPr>
        <w:t xml:space="preserve"> états-membres de l’UE, qui ont tous ratifié les</w:t>
      </w:r>
      <w:r w:rsidR="00EF0011" w:rsidRPr="009A1105">
        <w:rPr>
          <w:rFonts w:ascii="Arial" w:hAnsi="Arial" w:cs="Arial"/>
          <w:sz w:val="19"/>
          <w:szCs w:val="19"/>
          <w:lang w:val="fr-FR"/>
        </w:rPr>
        <w:t xml:space="preserve"> 8 </w:t>
      </w:r>
      <w:r w:rsidR="00E92DBC" w:rsidRPr="009A1105">
        <w:rPr>
          <w:rFonts w:ascii="Arial" w:hAnsi="Arial" w:cs="Arial"/>
          <w:sz w:val="19"/>
          <w:szCs w:val="19"/>
          <w:lang w:val="fr-FR"/>
        </w:rPr>
        <w:t xml:space="preserve">conventions </w:t>
      </w:r>
      <w:r w:rsidR="00EF0011" w:rsidRPr="009A1105">
        <w:rPr>
          <w:rFonts w:ascii="Arial" w:hAnsi="Arial" w:cs="Arial"/>
          <w:sz w:val="19"/>
          <w:szCs w:val="19"/>
          <w:lang w:val="fr-FR"/>
        </w:rPr>
        <w:t>fondamentales</w:t>
      </w:r>
      <w:r w:rsidR="00E92DBC" w:rsidRPr="009A1105">
        <w:rPr>
          <w:rFonts w:ascii="Arial" w:hAnsi="Arial" w:cs="Arial"/>
          <w:sz w:val="19"/>
          <w:szCs w:val="19"/>
          <w:lang w:val="fr-FR"/>
        </w:rPr>
        <w:t>.</w:t>
      </w:r>
    </w:p>
    <w:p w:rsidR="00533FAD" w:rsidRPr="006E4F9E" w:rsidRDefault="00533FAD" w:rsidP="006E4F9E">
      <w:pPr>
        <w:numPr>
          <w:ilvl w:val="0"/>
          <w:numId w:val="2"/>
        </w:numPr>
        <w:spacing w:after="60" w:line="255" w:lineRule="atLeast"/>
        <w:ind w:left="360" w:hanging="218"/>
        <w:rPr>
          <w:rFonts w:ascii="Arial" w:hAnsi="Arial" w:cs="Arial"/>
          <w:sz w:val="19"/>
          <w:szCs w:val="19"/>
          <w:lang w:val="fr-BE"/>
        </w:rPr>
      </w:pPr>
      <w:r w:rsidRPr="006E4F9E">
        <w:rPr>
          <w:rFonts w:ascii="Arial" w:hAnsi="Arial" w:cs="Arial"/>
          <w:sz w:val="19"/>
          <w:szCs w:val="19"/>
          <w:lang w:val="fr-BE"/>
        </w:rPr>
        <w:t>Dans plusieurs Etats américains, les niveaux de salaires et de droits accordés aux travailleurs sont si bas qu’ils créent une concurrence déloyale entre travailleurs</w:t>
      </w:r>
      <w:r w:rsidR="009D7E6A">
        <w:rPr>
          <w:rFonts w:ascii="Arial" w:hAnsi="Arial" w:cs="Arial"/>
          <w:sz w:val="19"/>
          <w:szCs w:val="19"/>
          <w:lang w:val="fr-BE"/>
        </w:rPr>
        <w:t xml:space="preserve">, </w:t>
      </w:r>
      <w:r w:rsidRPr="006E4F9E">
        <w:rPr>
          <w:rFonts w:ascii="Arial" w:hAnsi="Arial" w:cs="Arial"/>
          <w:sz w:val="19"/>
          <w:szCs w:val="19"/>
          <w:lang w:val="fr-BE"/>
        </w:rPr>
        <w:t>une forme de course vers le bas en matière de droit du travail.</w:t>
      </w:r>
    </w:p>
    <w:p w:rsidR="006E4F9E" w:rsidRDefault="006E4F9E" w:rsidP="006E4F9E">
      <w:pPr>
        <w:spacing w:after="60" w:line="255" w:lineRule="atLeast"/>
        <w:rPr>
          <w:rFonts w:ascii="Arial" w:hAnsi="Arial" w:cs="Arial"/>
          <w:b/>
          <w:sz w:val="19"/>
          <w:szCs w:val="19"/>
          <w:lang w:val="fr-FR"/>
        </w:rPr>
      </w:pPr>
    </w:p>
    <w:p w:rsidR="001A2963" w:rsidRPr="00533FAD" w:rsidRDefault="001A2963" w:rsidP="006E4F9E">
      <w:pPr>
        <w:spacing w:after="60" w:line="255" w:lineRule="atLeast"/>
        <w:rPr>
          <w:rFonts w:ascii="Arial" w:hAnsi="Arial" w:cs="Arial"/>
          <w:b/>
          <w:sz w:val="19"/>
          <w:szCs w:val="19"/>
          <w:lang w:val="fr-FR"/>
        </w:rPr>
      </w:pPr>
      <w:r w:rsidRPr="00533FAD">
        <w:rPr>
          <w:rFonts w:ascii="Arial" w:hAnsi="Arial" w:cs="Arial"/>
          <w:b/>
          <w:sz w:val="19"/>
          <w:szCs w:val="19"/>
          <w:lang w:val="fr-FR"/>
        </w:rPr>
        <w:t>Concernant la consommation, la santé, l’environnement</w:t>
      </w:r>
    </w:p>
    <w:p w:rsidR="00196FB5" w:rsidRPr="009A1105" w:rsidRDefault="00691BB8" w:rsidP="006E4F9E">
      <w:pPr>
        <w:numPr>
          <w:ilvl w:val="0"/>
          <w:numId w:val="2"/>
        </w:numPr>
        <w:spacing w:after="60" w:line="255" w:lineRule="atLeast"/>
        <w:ind w:left="360" w:hanging="218"/>
        <w:rPr>
          <w:sz w:val="19"/>
          <w:szCs w:val="19"/>
          <w:lang w:val="fr-FR"/>
        </w:rPr>
      </w:pPr>
      <w:r w:rsidRPr="009A1105">
        <w:rPr>
          <w:rStyle w:val="author-g-le0dpvp2xwxurhkr"/>
          <w:rFonts w:ascii="Arial" w:hAnsi="Arial" w:cs="Arial"/>
          <w:sz w:val="19"/>
          <w:szCs w:val="19"/>
          <w:lang w:val="fr-FR"/>
        </w:rPr>
        <w:lastRenderedPageBreak/>
        <w:t>Les normes de produits sont souvent très différent</w:t>
      </w:r>
      <w:r w:rsidR="009D64B0" w:rsidRPr="009A1105">
        <w:rPr>
          <w:rStyle w:val="author-g-le0dpvp2xwxurhkr"/>
          <w:rFonts w:ascii="Arial" w:hAnsi="Arial" w:cs="Arial"/>
          <w:sz w:val="19"/>
          <w:szCs w:val="19"/>
          <w:lang w:val="fr-FR"/>
        </w:rPr>
        <w:t>e</w:t>
      </w:r>
      <w:r w:rsidRPr="009A1105">
        <w:rPr>
          <w:rStyle w:val="author-g-le0dpvp2xwxurhkr"/>
          <w:rFonts w:ascii="Arial" w:hAnsi="Arial" w:cs="Arial"/>
          <w:sz w:val="19"/>
          <w:szCs w:val="19"/>
          <w:lang w:val="fr-FR"/>
        </w:rPr>
        <w:t>s, par exemple pour les cosmétiques</w:t>
      </w:r>
      <w:r w:rsidR="00196FB5" w:rsidRPr="009A1105">
        <w:rPr>
          <w:rFonts w:ascii="Arial" w:hAnsi="Arial" w:cs="Arial"/>
          <w:sz w:val="19"/>
          <w:szCs w:val="19"/>
          <w:lang w:val="fr-FR"/>
        </w:rPr>
        <w:t xml:space="preserve">: l'UE interdit </w:t>
      </w:r>
      <w:r w:rsidR="009D64B0" w:rsidRPr="009A1105">
        <w:rPr>
          <w:rFonts w:ascii="Arial" w:hAnsi="Arial" w:cs="Arial"/>
          <w:sz w:val="19"/>
          <w:szCs w:val="19"/>
          <w:lang w:val="fr-FR"/>
        </w:rPr>
        <w:t xml:space="preserve">plus  de </w:t>
      </w:r>
      <w:r w:rsidR="00196FB5" w:rsidRPr="009A1105">
        <w:rPr>
          <w:rFonts w:ascii="Arial" w:hAnsi="Arial" w:cs="Arial"/>
          <w:sz w:val="19"/>
          <w:szCs w:val="19"/>
          <w:lang w:val="fr-FR"/>
        </w:rPr>
        <w:t>1300 produits chimiques</w:t>
      </w:r>
      <w:r w:rsidR="009D64B0" w:rsidRPr="009A1105">
        <w:rPr>
          <w:rFonts w:ascii="Arial" w:hAnsi="Arial" w:cs="Arial"/>
          <w:sz w:val="19"/>
          <w:szCs w:val="19"/>
          <w:lang w:val="fr-FR"/>
        </w:rPr>
        <w:t xml:space="preserve"> dangereux, contre seulement 11 pour les USA</w:t>
      </w:r>
      <w:r w:rsidR="00196FB5" w:rsidRPr="009A1105">
        <w:rPr>
          <w:rFonts w:ascii="Arial" w:hAnsi="Arial" w:cs="Arial"/>
          <w:sz w:val="19"/>
          <w:szCs w:val="19"/>
          <w:lang w:val="fr-FR"/>
        </w:rPr>
        <w:t>. Le rapprochement des deux systèmes se fera</w:t>
      </w:r>
      <w:r w:rsidR="00533FAD">
        <w:rPr>
          <w:rFonts w:ascii="Arial" w:hAnsi="Arial" w:cs="Arial"/>
          <w:sz w:val="19"/>
          <w:szCs w:val="19"/>
          <w:lang w:val="fr-FR"/>
        </w:rPr>
        <w:t>it</w:t>
      </w:r>
      <w:r w:rsidR="00196FB5" w:rsidRPr="009A1105">
        <w:rPr>
          <w:rFonts w:ascii="Arial" w:hAnsi="Arial" w:cs="Arial"/>
          <w:sz w:val="19"/>
          <w:szCs w:val="19"/>
          <w:lang w:val="fr-FR"/>
        </w:rPr>
        <w:t xml:space="preserve"> très probablement au détriment du consommateur européen. </w:t>
      </w:r>
      <w:r w:rsidR="00C5089E" w:rsidRPr="009A1105">
        <w:rPr>
          <w:rFonts w:ascii="Arial" w:hAnsi="Arial" w:cs="Arial"/>
          <w:sz w:val="19"/>
          <w:szCs w:val="19"/>
          <w:lang w:val="fr-FR"/>
        </w:rPr>
        <w:t>De manière générale, alors que le principe de précaution prévaut dans les législations européennes, la législation américaine impose que la preuve d'un dommage soit avérée avant que des mesures de restriction/d'utilisation soient prises.</w:t>
      </w:r>
    </w:p>
    <w:p w:rsidR="009F6E2C" w:rsidRPr="009A1105" w:rsidRDefault="00772605" w:rsidP="006E4F9E">
      <w:pPr>
        <w:numPr>
          <w:ilvl w:val="0"/>
          <w:numId w:val="2"/>
        </w:numPr>
        <w:spacing w:after="60" w:line="255" w:lineRule="atLeast"/>
        <w:ind w:left="360" w:hanging="218"/>
        <w:rPr>
          <w:rFonts w:ascii="Arial" w:hAnsi="Arial" w:cs="Arial"/>
          <w:sz w:val="19"/>
          <w:szCs w:val="19"/>
          <w:lang w:val="fr-FR"/>
        </w:rPr>
      </w:pPr>
      <w:r w:rsidRPr="009A1105">
        <w:rPr>
          <w:rStyle w:val="author-g-le0dpvp2xwxurhkr"/>
          <w:rFonts w:ascii="Arial" w:hAnsi="Arial" w:cs="Arial"/>
          <w:sz w:val="19"/>
          <w:szCs w:val="19"/>
          <w:lang w:val="fr-FR"/>
        </w:rPr>
        <w:t>Dans le secteur de l’alimentation l</w:t>
      </w:r>
      <w:r w:rsidR="00285B30" w:rsidRPr="009A1105">
        <w:rPr>
          <w:rStyle w:val="author-g-le0dpvp2xwxurhkr"/>
          <w:rFonts w:ascii="Arial" w:hAnsi="Arial" w:cs="Arial"/>
          <w:sz w:val="19"/>
          <w:szCs w:val="19"/>
          <w:lang w:val="fr-FR"/>
        </w:rPr>
        <w:t xml:space="preserve">’UE </w:t>
      </w:r>
      <w:r w:rsidR="009F6E2C" w:rsidRPr="009A1105">
        <w:rPr>
          <w:rStyle w:val="author-g-le0dpvp2xwxurhkr"/>
          <w:rFonts w:ascii="Arial" w:hAnsi="Arial" w:cs="Arial"/>
          <w:sz w:val="19"/>
          <w:szCs w:val="19"/>
          <w:lang w:val="fr-FR"/>
        </w:rPr>
        <w:t>utilise le principe « de la ferme à l’assiette » qui impose de</w:t>
      </w:r>
      <w:r w:rsidR="00533FAD">
        <w:rPr>
          <w:rStyle w:val="author-g-le0dpvp2xwxurhkr"/>
          <w:rFonts w:ascii="Arial" w:hAnsi="Arial" w:cs="Arial"/>
          <w:sz w:val="19"/>
          <w:szCs w:val="19"/>
          <w:lang w:val="fr-FR"/>
        </w:rPr>
        <w:t>s</w:t>
      </w:r>
      <w:r w:rsidR="009F6E2C" w:rsidRPr="009A1105">
        <w:rPr>
          <w:rStyle w:val="author-g-le0dpvp2xwxurhkr"/>
          <w:rFonts w:ascii="Arial" w:hAnsi="Arial" w:cs="Arial"/>
          <w:sz w:val="19"/>
          <w:szCs w:val="19"/>
          <w:lang w:val="fr-FR"/>
        </w:rPr>
        <w:t xml:space="preserve"> normes d’hygiène</w:t>
      </w:r>
      <w:r w:rsidR="009D64B0" w:rsidRPr="009A1105">
        <w:rPr>
          <w:rStyle w:val="author-g-le0dpvp2xwxurhkr"/>
          <w:rFonts w:ascii="Arial" w:hAnsi="Arial" w:cs="Arial"/>
          <w:sz w:val="19"/>
          <w:szCs w:val="19"/>
          <w:lang w:val="fr-FR"/>
        </w:rPr>
        <w:t xml:space="preserve"> strictes pour chaque stade de</w:t>
      </w:r>
      <w:r w:rsidR="009F6E2C" w:rsidRPr="009A1105">
        <w:rPr>
          <w:rStyle w:val="author-g-le0dpvp2xwxurhkr"/>
          <w:rFonts w:ascii="Arial" w:hAnsi="Arial" w:cs="Arial"/>
          <w:sz w:val="19"/>
          <w:szCs w:val="19"/>
          <w:lang w:val="fr-FR"/>
        </w:rPr>
        <w:t xml:space="preserve"> la production, la transformation et la préparation des aliments pour la consommation. </w:t>
      </w:r>
      <w:r w:rsidR="00285B30" w:rsidRPr="009A1105">
        <w:rPr>
          <w:rStyle w:val="author-g-le0dpvp2xwxurhkr"/>
          <w:rFonts w:ascii="Arial" w:hAnsi="Arial" w:cs="Arial"/>
          <w:sz w:val="19"/>
          <w:szCs w:val="19"/>
          <w:lang w:val="fr-FR"/>
        </w:rPr>
        <w:t>Aux États-Unis</w:t>
      </w:r>
      <w:r w:rsidRPr="009A1105">
        <w:rPr>
          <w:rStyle w:val="author-g-le0dpvp2xwxurhkr"/>
          <w:rFonts w:ascii="Arial" w:hAnsi="Arial" w:cs="Arial"/>
          <w:sz w:val="19"/>
          <w:szCs w:val="19"/>
          <w:lang w:val="fr-FR"/>
        </w:rPr>
        <w:t>,</w:t>
      </w:r>
      <w:r w:rsidR="00285B30" w:rsidRPr="009A1105">
        <w:rPr>
          <w:rStyle w:val="author-g-le0dpvp2xwxurhkr"/>
          <w:rFonts w:ascii="Arial" w:hAnsi="Arial" w:cs="Arial"/>
          <w:sz w:val="19"/>
          <w:szCs w:val="19"/>
          <w:lang w:val="fr-FR"/>
        </w:rPr>
        <w:t xml:space="preserve"> il suffit</w:t>
      </w:r>
      <w:r w:rsidR="009F6E2C" w:rsidRPr="009A1105">
        <w:rPr>
          <w:rStyle w:val="author-g-le0dpvp2xwxurhkr"/>
          <w:rFonts w:ascii="Arial" w:hAnsi="Arial" w:cs="Arial"/>
          <w:sz w:val="19"/>
          <w:szCs w:val="19"/>
          <w:lang w:val="fr-FR"/>
        </w:rPr>
        <w:t xml:space="preserve"> que </w:t>
      </w:r>
      <w:r w:rsidR="00533FAD">
        <w:rPr>
          <w:rStyle w:val="author-g-le0dpvp2xwxurhkr"/>
          <w:rFonts w:ascii="Arial" w:hAnsi="Arial" w:cs="Arial"/>
          <w:sz w:val="19"/>
          <w:szCs w:val="19"/>
          <w:lang w:val="fr-FR"/>
        </w:rPr>
        <w:t>d’appliquer des désinfectants en bout de chaîne pour pouvoir considérer le produit final comme propre à être consommé</w:t>
      </w:r>
      <w:r w:rsidR="00AF0353" w:rsidRPr="009A1105">
        <w:rPr>
          <w:rStyle w:val="author-g-le0dpvp2xwxurhkr"/>
          <w:rFonts w:ascii="Arial" w:hAnsi="Arial" w:cs="Arial"/>
          <w:sz w:val="19"/>
          <w:szCs w:val="19"/>
          <w:lang w:val="fr-FR"/>
        </w:rPr>
        <w:t>. Cette technique</w:t>
      </w:r>
      <w:r w:rsidRPr="009A1105">
        <w:rPr>
          <w:rStyle w:val="author-g-le0dpvp2xwxurhkr"/>
          <w:rFonts w:ascii="Arial" w:hAnsi="Arial" w:cs="Arial"/>
          <w:sz w:val="19"/>
          <w:szCs w:val="19"/>
          <w:lang w:val="fr-FR"/>
        </w:rPr>
        <w:t>,</w:t>
      </w:r>
      <w:r w:rsidR="00AF0353" w:rsidRPr="009A1105">
        <w:rPr>
          <w:rStyle w:val="author-g-le0dpvp2xwxurhkr"/>
          <w:rFonts w:ascii="Arial" w:hAnsi="Arial" w:cs="Arial"/>
          <w:sz w:val="19"/>
          <w:szCs w:val="19"/>
          <w:lang w:val="fr-FR"/>
        </w:rPr>
        <w:t xml:space="preserve"> qui est interdit</w:t>
      </w:r>
      <w:r w:rsidRPr="009A1105">
        <w:rPr>
          <w:rStyle w:val="author-g-le0dpvp2xwxurhkr"/>
          <w:rFonts w:ascii="Arial" w:hAnsi="Arial" w:cs="Arial"/>
          <w:sz w:val="19"/>
          <w:szCs w:val="19"/>
          <w:lang w:val="fr-FR"/>
        </w:rPr>
        <w:t>e dans</w:t>
      </w:r>
      <w:r w:rsidR="00AF0353" w:rsidRPr="009A1105">
        <w:rPr>
          <w:rStyle w:val="author-g-le0dpvp2xwxurhkr"/>
          <w:rFonts w:ascii="Arial" w:hAnsi="Arial" w:cs="Arial"/>
          <w:sz w:val="19"/>
          <w:szCs w:val="19"/>
          <w:lang w:val="fr-FR"/>
        </w:rPr>
        <w:t xml:space="preserve"> l’UE</w:t>
      </w:r>
      <w:r w:rsidR="009D64B0" w:rsidRPr="009A1105">
        <w:rPr>
          <w:rStyle w:val="author-g-le0dpvp2xwxurhkr"/>
          <w:rFonts w:ascii="Arial" w:hAnsi="Arial" w:cs="Arial"/>
          <w:sz w:val="19"/>
          <w:szCs w:val="19"/>
          <w:lang w:val="fr-FR"/>
        </w:rPr>
        <w:t>, présente</w:t>
      </w:r>
      <w:r w:rsidRPr="009A1105">
        <w:rPr>
          <w:rStyle w:val="author-g-le0dpvp2xwxurhkr"/>
          <w:rFonts w:ascii="Arial" w:hAnsi="Arial" w:cs="Arial"/>
          <w:sz w:val="19"/>
          <w:szCs w:val="19"/>
          <w:lang w:val="fr-FR"/>
        </w:rPr>
        <w:t xml:space="preserve"> des risques </w:t>
      </w:r>
      <w:r w:rsidR="00533FAD">
        <w:rPr>
          <w:rStyle w:val="author-g-le0dpvp2xwxurhkr"/>
          <w:rFonts w:ascii="Arial" w:hAnsi="Arial" w:cs="Arial"/>
          <w:sz w:val="19"/>
          <w:szCs w:val="19"/>
          <w:lang w:val="fr-FR"/>
        </w:rPr>
        <w:t xml:space="preserve">sanitaires </w:t>
      </w:r>
      <w:r w:rsidRPr="009A1105">
        <w:rPr>
          <w:rStyle w:val="author-g-le0dpvp2xwxurhkr"/>
          <w:rFonts w:ascii="Arial" w:hAnsi="Arial" w:cs="Arial"/>
          <w:sz w:val="19"/>
          <w:szCs w:val="19"/>
          <w:lang w:val="fr-FR"/>
        </w:rPr>
        <w:t>tout au</w:t>
      </w:r>
      <w:r w:rsidR="00AF0353" w:rsidRPr="009A1105">
        <w:rPr>
          <w:rStyle w:val="author-g-le0dpvp2xwxurhkr"/>
          <w:rFonts w:ascii="Arial" w:hAnsi="Arial" w:cs="Arial"/>
          <w:sz w:val="19"/>
          <w:szCs w:val="19"/>
          <w:lang w:val="fr-FR"/>
        </w:rPr>
        <w:t xml:space="preserve"> long de la chaine.</w:t>
      </w:r>
    </w:p>
    <w:p w:rsidR="001A2963" w:rsidRPr="009A1105" w:rsidRDefault="00C5089E" w:rsidP="006E4F9E">
      <w:pPr>
        <w:numPr>
          <w:ilvl w:val="0"/>
          <w:numId w:val="7"/>
        </w:numPr>
        <w:spacing w:after="60" w:line="255" w:lineRule="atLeast"/>
        <w:ind w:left="360" w:hanging="218"/>
        <w:rPr>
          <w:rFonts w:ascii="Arial" w:hAnsi="Arial" w:cs="Arial"/>
          <w:sz w:val="19"/>
          <w:szCs w:val="19"/>
          <w:lang w:val="fr-FR"/>
        </w:rPr>
      </w:pPr>
      <w:r w:rsidRPr="009A1105">
        <w:rPr>
          <w:rFonts w:ascii="Arial" w:hAnsi="Arial" w:cs="Arial"/>
          <w:sz w:val="19"/>
          <w:szCs w:val="19"/>
          <w:lang w:val="fr-FR"/>
        </w:rPr>
        <w:t xml:space="preserve">La marchandisation de services </w:t>
      </w:r>
      <w:r w:rsidRPr="009A1105">
        <w:rPr>
          <w:rStyle w:val="author-g-bmsh6e7h2v8d1tqt"/>
          <w:rFonts w:ascii="Arial" w:hAnsi="Arial" w:cs="Arial"/>
          <w:sz w:val="19"/>
          <w:szCs w:val="19"/>
          <w:lang w:val="fr-FR"/>
        </w:rPr>
        <w:t xml:space="preserve">d'intérêt </w:t>
      </w:r>
      <w:r w:rsidR="00111DB3" w:rsidRPr="008A2404">
        <w:rPr>
          <w:rFonts w:ascii="Arial" w:hAnsi="Arial" w:cs="Arial"/>
          <w:sz w:val="19"/>
          <w:szCs w:val="19"/>
          <w:lang w:val="fr-FR"/>
        </w:rPr>
        <w:t>général</w:t>
      </w:r>
      <w:r w:rsidRPr="009A1105">
        <w:rPr>
          <w:rFonts w:ascii="Arial" w:hAnsi="Arial" w:cs="Arial"/>
          <w:sz w:val="19"/>
          <w:szCs w:val="19"/>
          <w:lang w:val="fr-FR"/>
        </w:rPr>
        <w:t xml:space="preserve"> tels que l'assurance maladie, l'approvisionnement en eau et les transports publics empêche</w:t>
      </w:r>
      <w:r w:rsidR="00772605" w:rsidRPr="009A1105">
        <w:rPr>
          <w:rFonts w:ascii="Arial" w:hAnsi="Arial" w:cs="Arial"/>
          <w:sz w:val="19"/>
          <w:szCs w:val="19"/>
          <w:lang w:val="fr-FR"/>
        </w:rPr>
        <w:t>nt</w:t>
      </w:r>
      <w:r w:rsidRPr="009A1105">
        <w:rPr>
          <w:rFonts w:ascii="Arial" w:hAnsi="Arial" w:cs="Arial"/>
          <w:sz w:val="19"/>
          <w:szCs w:val="19"/>
          <w:lang w:val="fr-FR"/>
        </w:rPr>
        <w:t xml:space="preserve"> l'accès des plus précarisés à ces services de base. Le TTIP et le CETA rendront </w:t>
      </w:r>
      <w:r w:rsidRPr="009A1105">
        <w:rPr>
          <w:rStyle w:val="author-g-bmsh6e7h2v8d1tqt"/>
          <w:rFonts w:ascii="Arial" w:hAnsi="Arial" w:cs="Arial"/>
          <w:sz w:val="19"/>
          <w:szCs w:val="19"/>
          <w:lang w:val="fr-FR"/>
        </w:rPr>
        <w:t xml:space="preserve">les </w:t>
      </w:r>
      <w:r w:rsidRPr="009A1105">
        <w:rPr>
          <w:rFonts w:ascii="Arial" w:hAnsi="Arial" w:cs="Arial"/>
          <w:sz w:val="19"/>
          <w:szCs w:val="19"/>
          <w:lang w:val="fr-FR"/>
        </w:rPr>
        <w:t>marchandisation</w:t>
      </w:r>
      <w:r w:rsidRPr="009A1105">
        <w:rPr>
          <w:rStyle w:val="author-g-bmsh6e7h2v8d1tqt"/>
          <w:rFonts w:ascii="Arial" w:hAnsi="Arial" w:cs="Arial"/>
          <w:sz w:val="19"/>
          <w:szCs w:val="19"/>
          <w:lang w:val="fr-FR"/>
        </w:rPr>
        <w:t>s</w:t>
      </w:r>
      <w:r w:rsidRPr="009A1105">
        <w:rPr>
          <w:rFonts w:ascii="Arial" w:hAnsi="Arial" w:cs="Arial"/>
          <w:sz w:val="19"/>
          <w:szCs w:val="19"/>
          <w:lang w:val="fr-FR"/>
        </w:rPr>
        <w:t xml:space="preserve"> de ce type irréversible</w:t>
      </w:r>
      <w:r w:rsidR="00EE5754">
        <w:rPr>
          <w:rFonts w:ascii="Arial" w:hAnsi="Arial" w:cs="Arial"/>
          <w:sz w:val="19"/>
          <w:szCs w:val="19"/>
          <w:lang w:val="fr-FR"/>
        </w:rPr>
        <w:t>s</w:t>
      </w:r>
      <w:r w:rsidRPr="009A1105">
        <w:rPr>
          <w:rFonts w:ascii="Arial" w:hAnsi="Arial" w:cs="Arial"/>
          <w:sz w:val="19"/>
          <w:szCs w:val="19"/>
          <w:lang w:val="fr-FR"/>
        </w:rPr>
        <w:t>.</w:t>
      </w:r>
      <w:r w:rsidR="001A2963" w:rsidRPr="009A1105">
        <w:rPr>
          <w:rFonts w:ascii="Arial" w:hAnsi="Arial" w:cs="Arial"/>
          <w:sz w:val="19"/>
          <w:szCs w:val="19"/>
          <w:lang w:val="fr-FR"/>
        </w:rPr>
        <w:t xml:space="preserve"> </w:t>
      </w:r>
    </w:p>
    <w:p w:rsidR="001A2963" w:rsidRPr="009A1105" w:rsidRDefault="001A2963" w:rsidP="006E4F9E">
      <w:pPr>
        <w:numPr>
          <w:ilvl w:val="0"/>
          <w:numId w:val="7"/>
        </w:numPr>
        <w:spacing w:after="60" w:line="255" w:lineRule="atLeast"/>
        <w:ind w:left="360" w:hanging="218"/>
        <w:rPr>
          <w:rFonts w:ascii="Arial" w:hAnsi="Arial" w:cs="Arial"/>
          <w:sz w:val="19"/>
          <w:szCs w:val="19"/>
          <w:lang w:val="fr-FR"/>
        </w:rPr>
      </w:pPr>
      <w:r w:rsidRPr="009A1105">
        <w:rPr>
          <w:rFonts w:ascii="Arial" w:hAnsi="Arial" w:cs="Arial"/>
          <w:sz w:val="19"/>
          <w:szCs w:val="19"/>
          <w:lang w:val="fr-FR"/>
        </w:rPr>
        <w:t>Les USA veulent utiliser le TTIP pour introduire en Europe des brevets sur les procédures médicales, qui entraveraient le travail des médecins, limiteraient la disponibilité de nouveaux traitements pour les patients.</w:t>
      </w:r>
    </w:p>
    <w:p w:rsidR="001A2963" w:rsidRPr="009A1105" w:rsidRDefault="001A2963" w:rsidP="006E4F9E">
      <w:pPr>
        <w:numPr>
          <w:ilvl w:val="0"/>
          <w:numId w:val="2"/>
        </w:numPr>
        <w:spacing w:after="60" w:line="255" w:lineRule="atLeast"/>
        <w:ind w:left="360" w:hanging="218"/>
        <w:rPr>
          <w:rFonts w:ascii="Arial" w:hAnsi="Arial" w:cs="Arial"/>
          <w:sz w:val="19"/>
          <w:szCs w:val="19"/>
          <w:lang w:val="fr-BE"/>
        </w:rPr>
      </w:pPr>
      <w:r w:rsidRPr="009A1105">
        <w:rPr>
          <w:rFonts w:ascii="Arial" w:hAnsi="Arial" w:cs="Arial"/>
          <w:sz w:val="19"/>
          <w:szCs w:val="19"/>
          <w:lang w:val="fr-BE"/>
        </w:rPr>
        <w:t>La vie privée et les échanges des données à caractère personnel sont beaucoup p</w:t>
      </w:r>
      <w:r w:rsidR="00772605" w:rsidRPr="009A1105">
        <w:rPr>
          <w:rFonts w:ascii="Arial" w:hAnsi="Arial" w:cs="Arial"/>
          <w:sz w:val="19"/>
          <w:szCs w:val="19"/>
          <w:lang w:val="fr-BE"/>
        </w:rPr>
        <w:t>lus réglementés en Europe qu’</w:t>
      </w:r>
      <w:r w:rsidRPr="009A1105">
        <w:rPr>
          <w:rFonts w:ascii="Arial" w:hAnsi="Arial" w:cs="Arial"/>
          <w:sz w:val="19"/>
          <w:szCs w:val="19"/>
          <w:lang w:val="fr-BE"/>
        </w:rPr>
        <w:t>aux États-Unis</w:t>
      </w:r>
      <w:r w:rsidR="00EE5754">
        <w:rPr>
          <w:rFonts w:ascii="Arial" w:hAnsi="Arial" w:cs="Arial"/>
          <w:sz w:val="19"/>
          <w:szCs w:val="19"/>
          <w:lang w:val="fr-BE"/>
        </w:rPr>
        <w:t xml:space="preserve"> et une harmonisation risquerait fort d’affaiblir le niveau de protection européen</w:t>
      </w:r>
      <w:r w:rsidRPr="009A1105">
        <w:rPr>
          <w:rFonts w:ascii="Arial" w:hAnsi="Arial" w:cs="Arial"/>
          <w:sz w:val="19"/>
          <w:szCs w:val="19"/>
          <w:lang w:val="fr-BE"/>
        </w:rPr>
        <w:t>.</w:t>
      </w:r>
    </w:p>
    <w:p w:rsidR="006E4F9E" w:rsidRDefault="006E4F9E" w:rsidP="006E4F9E">
      <w:pPr>
        <w:spacing w:after="60" w:line="255" w:lineRule="atLeast"/>
        <w:rPr>
          <w:rFonts w:ascii="Arial" w:hAnsi="Arial" w:cs="Arial"/>
          <w:b/>
          <w:sz w:val="19"/>
          <w:szCs w:val="19"/>
          <w:lang w:val="fr-FR"/>
        </w:rPr>
      </w:pPr>
    </w:p>
    <w:p w:rsidR="001A2963" w:rsidRPr="009A1105" w:rsidRDefault="001A2963" w:rsidP="006E4F9E">
      <w:pPr>
        <w:spacing w:after="60" w:line="255" w:lineRule="atLeast"/>
        <w:rPr>
          <w:rFonts w:ascii="Arial" w:hAnsi="Arial" w:cs="Arial"/>
          <w:b/>
          <w:sz w:val="19"/>
          <w:szCs w:val="19"/>
          <w:lang w:val="fr-FR"/>
        </w:rPr>
      </w:pPr>
      <w:r w:rsidRPr="009A1105">
        <w:rPr>
          <w:rFonts w:ascii="Arial" w:hAnsi="Arial" w:cs="Arial"/>
          <w:b/>
          <w:sz w:val="19"/>
          <w:szCs w:val="19"/>
          <w:lang w:val="fr-FR"/>
        </w:rPr>
        <w:t xml:space="preserve">Concernant l’intérêt </w:t>
      </w:r>
      <w:r w:rsidR="00EE5F34">
        <w:rPr>
          <w:rFonts w:ascii="Arial" w:hAnsi="Arial" w:cs="Arial"/>
          <w:b/>
          <w:sz w:val="19"/>
          <w:szCs w:val="19"/>
          <w:lang w:val="fr-FR"/>
        </w:rPr>
        <w:t>général</w:t>
      </w:r>
      <w:r w:rsidRPr="009A1105">
        <w:rPr>
          <w:rFonts w:ascii="Arial" w:hAnsi="Arial" w:cs="Arial"/>
          <w:b/>
          <w:sz w:val="19"/>
          <w:szCs w:val="19"/>
          <w:lang w:val="fr-FR"/>
        </w:rPr>
        <w:t>, l’intégration européenne et la démocratie</w:t>
      </w:r>
    </w:p>
    <w:p w:rsidR="005E68E4" w:rsidRPr="009A1105" w:rsidRDefault="00167475" w:rsidP="006E4F9E">
      <w:pPr>
        <w:numPr>
          <w:ilvl w:val="0"/>
          <w:numId w:val="5"/>
        </w:numPr>
        <w:spacing w:after="60" w:line="255" w:lineRule="atLeast"/>
        <w:ind w:left="360" w:hanging="218"/>
        <w:rPr>
          <w:rFonts w:ascii="Arial" w:hAnsi="Arial" w:cs="Arial"/>
          <w:sz w:val="19"/>
          <w:szCs w:val="19"/>
          <w:lang w:val="fr-BE"/>
        </w:rPr>
      </w:pPr>
      <w:r w:rsidRPr="009A1105">
        <w:rPr>
          <w:rFonts w:ascii="Arial" w:hAnsi="Arial" w:cs="Arial"/>
          <w:sz w:val="19"/>
          <w:szCs w:val="19"/>
          <w:lang w:val="fr-FR"/>
        </w:rPr>
        <w:t>La Commission européenne veut introduire un mécanisme de règlement des différends entre in</w:t>
      </w:r>
      <w:r w:rsidR="009D64B0" w:rsidRPr="009A1105">
        <w:rPr>
          <w:rFonts w:ascii="Arial" w:hAnsi="Arial" w:cs="Arial"/>
          <w:sz w:val="19"/>
          <w:szCs w:val="19"/>
          <w:lang w:val="fr-FR"/>
        </w:rPr>
        <w:t>vestisseur et états (connu sous le nom d’</w:t>
      </w:r>
      <w:r w:rsidRPr="009A1105">
        <w:rPr>
          <w:rFonts w:ascii="Arial" w:hAnsi="Arial" w:cs="Arial"/>
          <w:sz w:val="19"/>
          <w:szCs w:val="19"/>
          <w:lang w:val="fr-FR"/>
        </w:rPr>
        <w:t>ISDS) dans le TTIP, même si</w:t>
      </w:r>
      <w:r w:rsidR="00772605" w:rsidRPr="009A1105">
        <w:rPr>
          <w:rFonts w:ascii="Arial" w:hAnsi="Arial" w:cs="Arial"/>
          <w:sz w:val="19"/>
          <w:szCs w:val="19"/>
          <w:lang w:val="fr-FR"/>
        </w:rPr>
        <w:t xml:space="preserve"> les milliards d’euro</w:t>
      </w:r>
      <w:r w:rsidR="009D64B0" w:rsidRPr="009A1105">
        <w:rPr>
          <w:rFonts w:ascii="Arial" w:hAnsi="Arial" w:cs="Arial"/>
          <w:sz w:val="19"/>
          <w:szCs w:val="19"/>
          <w:lang w:val="fr-FR"/>
        </w:rPr>
        <w:t>s</w:t>
      </w:r>
      <w:r w:rsidR="00772605" w:rsidRPr="009A1105">
        <w:rPr>
          <w:rFonts w:ascii="Arial" w:hAnsi="Arial" w:cs="Arial"/>
          <w:sz w:val="19"/>
          <w:szCs w:val="19"/>
          <w:lang w:val="fr-FR"/>
        </w:rPr>
        <w:t xml:space="preserve"> et les dizaines de </w:t>
      </w:r>
      <w:r w:rsidRPr="009A1105">
        <w:rPr>
          <w:rFonts w:ascii="Arial" w:hAnsi="Arial" w:cs="Arial"/>
          <w:sz w:val="19"/>
          <w:szCs w:val="19"/>
          <w:lang w:val="fr-FR"/>
        </w:rPr>
        <w:t>milliers d’investisseurs transatlantique</w:t>
      </w:r>
      <w:r w:rsidR="00772605" w:rsidRPr="009A1105">
        <w:rPr>
          <w:rFonts w:ascii="Arial" w:hAnsi="Arial" w:cs="Arial"/>
          <w:sz w:val="19"/>
          <w:szCs w:val="19"/>
          <w:lang w:val="fr-FR"/>
        </w:rPr>
        <w:t xml:space="preserve">s </w:t>
      </w:r>
      <w:r w:rsidR="00EE5754">
        <w:rPr>
          <w:rFonts w:ascii="Arial" w:hAnsi="Arial" w:cs="Arial"/>
          <w:sz w:val="19"/>
          <w:szCs w:val="19"/>
          <w:lang w:val="fr-FR"/>
        </w:rPr>
        <w:t>déjà existants montrent bien qu’une telle disposition n’est pas nécessaire pour encourager les investissements</w:t>
      </w:r>
      <w:r w:rsidRPr="009A1105">
        <w:rPr>
          <w:rFonts w:ascii="Arial" w:hAnsi="Arial" w:cs="Arial"/>
          <w:sz w:val="19"/>
          <w:szCs w:val="19"/>
          <w:lang w:val="fr-FR"/>
        </w:rPr>
        <w:t>.</w:t>
      </w:r>
      <w:r w:rsidR="00EE5754">
        <w:rPr>
          <w:rFonts w:ascii="Arial" w:hAnsi="Arial" w:cs="Arial"/>
          <w:sz w:val="19"/>
          <w:szCs w:val="19"/>
          <w:lang w:val="fr-FR"/>
        </w:rPr>
        <w:t xml:space="preserve"> Mais l</w:t>
      </w:r>
      <w:r w:rsidRPr="009A1105">
        <w:rPr>
          <w:rFonts w:ascii="Arial" w:hAnsi="Arial" w:cs="Arial"/>
          <w:sz w:val="19"/>
          <w:szCs w:val="19"/>
          <w:lang w:val="fr-FR"/>
        </w:rPr>
        <w:t>es propositions de la Commission permett</w:t>
      </w:r>
      <w:r w:rsidR="00EE5754">
        <w:rPr>
          <w:rFonts w:ascii="Arial" w:hAnsi="Arial" w:cs="Arial"/>
          <w:sz w:val="19"/>
          <w:szCs w:val="19"/>
          <w:lang w:val="fr-FR"/>
        </w:rPr>
        <w:t>raient</w:t>
      </w:r>
      <w:r w:rsidRPr="009A1105">
        <w:rPr>
          <w:rFonts w:ascii="Arial" w:hAnsi="Arial" w:cs="Arial"/>
          <w:sz w:val="19"/>
          <w:szCs w:val="19"/>
          <w:lang w:val="fr-FR"/>
        </w:rPr>
        <w:t xml:space="preserve"> aux investisseurs transatlantiques d’attaquer des mesures </w:t>
      </w:r>
      <w:r w:rsidR="00AF0353" w:rsidRPr="009A1105">
        <w:rPr>
          <w:rFonts w:ascii="Arial" w:hAnsi="Arial" w:cs="Arial"/>
          <w:sz w:val="19"/>
          <w:szCs w:val="19"/>
          <w:lang w:val="fr-FR"/>
        </w:rPr>
        <w:t>publiques</w:t>
      </w:r>
      <w:r w:rsidRPr="009A1105">
        <w:rPr>
          <w:rFonts w:ascii="Arial" w:hAnsi="Arial" w:cs="Arial"/>
          <w:sz w:val="19"/>
          <w:szCs w:val="19"/>
          <w:lang w:val="fr-FR"/>
        </w:rPr>
        <w:t xml:space="preserve"> qui sont parfaitement légales et constitutionnelles.</w:t>
      </w:r>
    </w:p>
    <w:p w:rsidR="00C5089E" w:rsidRPr="009A1105" w:rsidRDefault="00C5089E" w:rsidP="006E4F9E">
      <w:pPr>
        <w:numPr>
          <w:ilvl w:val="0"/>
          <w:numId w:val="6"/>
        </w:numPr>
        <w:spacing w:after="60" w:line="255" w:lineRule="atLeast"/>
        <w:ind w:left="360" w:hanging="218"/>
        <w:rPr>
          <w:rFonts w:ascii="Arial" w:hAnsi="Arial" w:cs="Arial"/>
          <w:sz w:val="19"/>
          <w:szCs w:val="19"/>
          <w:lang w:val="fr-FR"/>
        </w:rPr>
      </w:pPr>
      <w:r w:rsidRPr="009A1105">
        <w:rPr>
          <w:rFonts w:ascii="Arial" w:hAnsi="Arial" w:cs="Arial"/>
          <w:sz w:val="19"/>
          <w:szCs w:val="19"/>
          <w:lang w:val="fr-FR"/>
        </w:rPr>
        <w:t xml:space="preserve">Le CETA, même sans le TTIP, permettra </w:t>
      </w:r>
      <w:r w:rsidR="005E68E4" w:rsidRPr="009A1105">
        <w:rPr>
          <w:rFonts w:ascii="Arial" w:hAnsi="Arial" w:cs="Arial"/>
          <w:sz w:val="19"/>
          <w:szCs w:val="19"/>
          <w:lang w:val="fr-FR"/>
        </w:rPr>
        <w:t>déj</w:t>
      </w:r>
      <w:r w:rsidR="009D64B0" w:rsidRPr="009A1105">
        <w:rPr>
          <w:rFonts w:ascii="Arial" w:hAnsi="Arial" w:cs="Arial"/>
          <w:sz w:val="19"/>
          <w:szCs w:val="19"/>
          <w:lang w:val="fr-FR"/>
        </w:rPr>
        <w:t>à aux</w:t>
      </w:r>
      <w:r w:rsidRPr="009A1105">
        <w:rPr>
          <w:rFonts w:ascii="Arial" w:hAnsi="Arial" w:cs="Arial"/>
          <w:sz w:val="19"/>
          <w:szCs w:val="19"/>
          <w:lang w:val="fr-FR"/>
        </w:rPr>
        <w:t xml:space="preserve"> entreprises américaines de réclamer des millions en dommages et intérêts aux autorités belges si elles affectent leurs profits, par exemple en augmentant les salaires, en renforçant la prévention anti-tabac ou</w:t>
      </w:r>
      <w:r w:rsidR="00772605" w:rsidRPr="009A1105">
        <w:rPr>
          <w:rFonts w:ascii="Arial" w:hAnsi="Arial" w:cs="Arial"/>
          <w:sz w:val="19"/>
          <w:szCs w:val="19"/>
          <w:lang w:val="fr-FR"/>
        </w:rPr>
        <w:t xml:space="preserve"> en</w:t>
      </w:r>
      <w:r w:rsidRPr="009A1105">
        <w:rPr>
          <w:rFonts w:ascii="Arial" w:hAnsi="Arial" w:cs="Arial"/>
          <w:sz w:val="19"/>
          <w:szCs w:val="19"/>
          <w:lang w:val="fr-FR"/>
        </w:rPr>
        <w:t xml:space="preserve"> décidant de fermer des centrales nucléaires.</w:t>
      </w:r>
    </w:p>
    <w:p w:rsidR="00167475" w:rsidRPr="009A1105" w:rsidRDefault="00C5089E" w:rsidP="006E4F9E">
      <w:pPr>
        <w:numPr>
          <w:ilvl w:val="0"/>
          <w:numId w:val="7"/>
        </w:numPr>
        <w:spacing w:after="60" w:line="255" w:lineRule="atLeast"/>
        <w:ind w:left="360" w:hanging="218"/>
        <w:rPr>
          <w:rFonts w:ascii="Arial" w:hAnsi="Arial" w:cs="Arial"/>
          <w:sz w:val="19"/>
          <w:szCs w:val="19"/>
          <w:lang w:val="fr-FR"/>
        </w:rPr>
      </w:pPr>
      <w:r w:rsidRPr="009A1105">
        <w:rPr>
          <w:rStyle w:val="author-g-le0dpvp2xwxurhkr"/>
          <w:rFonts w:ascii="Arial" w:hAnsi="Arial" w:cs="Arial"/>
          <w:sz w:val="19"/>
          <w:szCs w:val="19"/>
          <w:lang w:val="fr-FR"/>
        </w:rPr>
        <w:t xml:space="preserve">Le </w:t>
      </w:r>
      <w:r w:rsidRPr="009A1105">
        <w:rPr>
          <w:rFonts w:ascii="Arial" w:hAnsi="Arial" w:cs="Arial"/>
          <w:sz w:val="19"/>
          <w:szCs w:val="19"/>
          <w:lang w:val="fr-FR"/>
        </w:rPr>
        <w:t xml:space="preserve">TTIP </w:t>
      </w:r>
      <w:r w:rsidR="005E68E4" w:rsidRPr="009A1105">
        <w:rPr>
          <w:rFonts w:ascii="Arial" w:hAnsi="Arial" w:cs="Arial"/>
          <w:sz w:val="19"/>
          <w:szCs w:val="19"/>
          <w:lang w:val="fr-FR"/>
        </w:rPr>
        <w:t xml:space="preserve">nuira </w:t>
      </w:r>
      <w:r w:rsidR="00772605" w:rsidRPr="009A1105">
        <w:rPr>
          <w:rFonts w:ascii="Arial" w:hAnsi="Arial" w:cs="Arial"/>
          <w:sz w:val="19"/>
          <w:szCs w:val="19"/>
          <w:lang w:val="fr-FR"/>
        </w:rPr>
        <w:t>au</w:t>
      </w:r>
      <w:r w:rsidRPr="009A1105">
        <w:rPr>
          <w:rFonts w:ascii="Arial" w:hAnsi="Arial" w:cs="Arial"/>
          <w:sz w:val="19"/>
          <w:szCs w:val="19"/>
          <w:lang w:val="fr-FR"/>
        </w:rPr>
        <w:t xml:space="preserve"> projet européen : vouloir une harmonisation entre l'UE et les USA alors que l'harmonisation intra-européenne est </w:t>
      </w:r>
      <w:r w:rsidR="00772605" w:rsidRPr="009A1105">
        <w:rPr>
          <w:rFonts w:ascii="Arial" w:hAnsi="Arial" w:cs="Arial"/>
          <w:sz w:val="19"/>
          <w:szCs w:val="19"/>
          <w:lang w:val="fr-FR"/>
        </w:rPr>
        <w:t xml:space="preserve">trop </w:t>
      </w:r>
      <w:r w:rsidR="005E68E4" w:rsidRPr="009A1105">
        <w:rPr>
          <w:rFonts w:ascii="Arial" w:hAnsi="Arial" w:cs="Arial"/>
          <w:sz w:val="19"/>
          <w:szCs w:val="19"/>
          <w:lang w:val="fr-FR"/>
        </w:rPr>
        <w:t xml:space="preserve">peu avancée </w:t>
      </w:r>
      <w:r w:rsidRPr="009A1105">
        <w:rPr>
          <w:rFonts w:ascii="Arial" w:hAnsi="Arial" w:cs="Arial"/>
          <w:sz w:val="19"/>
          <w:szCs w:val="19"/>
          <w:lang w:val="fr-FR"/>
        </w:rPr>
        <w:t xml:space="preserve">dans bien des domaines, c'est détruire </w:t>
      </w:r>
      <w:r w:rsidR="005E68E4" w:rsidRPr="009A1105">
        <w:rPr>
          <w:rFonts w:ascii="Arial" w:hAnsi="Arial" w:cs="Arial"/>
          <w:sz w:val="19"/>
          <w:szCs w:val="19"/>
          <w:lang w:val="fr-FR"/>
        </w:rPr>
        <w:t>l’espoir</w:t>
      </w:r>
      <w:r w:rsidRPr="009A1105">
        <w:rPr>
          <w:rFonts w:ascii="Arial" w:hAnsi="Arial" w:cs="Arial"/>
          <w:sz w:val="19"/>
          <w:szCs w:val="19"/>
          <w:lang w:val="fr-FR"/>
        </w:rPr>
        <w:t xml:space="preserve"> de voir un jour émerger une l'Europe des peuples que nous appelons de nos </w:t>
      </w:r>
      <w:r w:rsidR="00124B5E" w:rsidRPr="009A1105">
        <w:rPr>
          <w:rFonts w:ascii="Arial" w:hAnsi="Arial" w:cs="Arial"/>
          <w:sz w:val="19"/>
          <w:szCs w:val="19"/>
          <w:lang w:val="fr-FR"/>
        </w:rPr>
        <w:t>vœux</w:t>
      </w:r>
      <w:r w:rsidRPr="009A1105">
        <w:rPr>
          <w:rFonts w:ascii="Arial" w:hAnsi="Arial" w:cs="Arial"/>
          <w:sz w:val="19"/>
          <w:szCs w:val="19"/>
          <w:lang w:val="fr-FR"/>
        </w:rPr>
        <w:t>.</w:t>
      </w:r>
      <w:r w:rsidR="00167475" w:rsidRPr="009A1105">
        <w:rPr>
          <w:rFonts w:ascii="Arial" w:hAnsi="Arial" w:cs="Arial"/>
          <w:sz w:val="19"/>
          <w:szCs w:val="19"/>
          <w:lang w:val="fr-FR"/>
        </w:rPr>
        <w:t xml:space="preserve"> </w:t>
      </w:r>
    </w:p>
    <w:p w:rsidR="003E1BA0" w:rsidRPr="009A1105" w:rsidRDefault="00772605" w:rsidP="006E4F9E">
      <w:pPr>
        <w:numPr>
          <w:ilvl w:val="0"/>
          <w:numId w:val="7"/>
        </w:numPr>
        <w:spacing w:after="60" w:line="255" w:lineRule="atLeast"/>
        <w:ind w:left="360" w:hanging="218"/>
        <w:rPr>
          <w:rFonts w:ascii="Arial" w:hAnsi="Arial" w:cs="Arial"/>
          <w:sz w:val="19"/>
          <w:szCs w:val="19"/>
          <w:lang w:val="fr-FR"/>
        </w:rPr>
      </w:pPr>
      <w:r w:rsidRPr="009A1105">
        <w:rPr>
          <w:rFonts w:ascii="Arial" w:hAnsi="Arial" w:cs="Arial"/>
          <w:sz w:val="19"/>
          <w:szCs w:val="19"/>
          <w:lang w:val="fr-FR"/>
        </w:rPr>
        <w:t>La façon dont c</w:t>
      </w:r>
      <w:r w:rsidR="003E1BA0" w:rsidRPr="009A1105">
        <w:rPr>
          <w:rFonts w:ascii="Arial" w:hAnsi="Arial" w:cs="Arial"/>
          <w:sz w:val="19"/>
          <w:szCs w:val="19"/>
          <w:lang w:val="fr-FR"/>
        </w:rPr>
        <w:t xml:space="preserve">es accords </w:t>
      </w:r>
      <w:r w:rsidR="00124B5E" w:rsidRPr="009A1105">
        <w:rPr>
          <w:rFonts w:ascii="Arial" w:hAnsi="Arial" w:cs="Arial"/>
          <w:sz w:val="19"/>
          <w:szCs w:val="19"/>
          <w:lang w:val="fr-FR"/>
        </w:rPr>
        <w:t>commerciaux sont conclus est peu</w:t>
      </w:r>
      <w:r w:rsidR="003E1BA0" w:rsidRPr="009A1105">
        <w:rPr>
          <w:rFonts w:ascii="Arial" w:hAnsi="Arial" w:cs="Arial"/>
          <w:sz w:val="19"/>
          <w:szCs w:val="19"/>
          <w:lang w:val="fr-FR"/>
        </w:rPr>
        <w:t xml:space="preserve"> démocratique. Les négociations se déroulent à huis clos</w:t>
      </w:r>
      <w:r w:rsidR="00124B5E" w:rsidRPr="009A1105">
        <w:rPr>
          <w:rFonts w:ascii="Arial" w:hAnsi="Arial" w:cs="Arial"/>
          <w:sz w:val="19"/>
          <w:szCs w:val="19"/>
          <w:lang w:val="fr-FR"/>
        </w:rPr>
        <w:t xml:space="preserve"> ; </w:t>
      </w:r>
      <w:r w:rsidRPr="009A1105">
        <w:rPr>
          <w:rFonts w:ascii="Arial" w:hAnsi="Arial" w:cs="Arial"/>
          <w:sz w:val="19"/>
          <w:szCs w:val="19"/>
          <w:lang w:val="fr-FR"/>
        </w:rPr>
        <w:t xml:space="preserve">à la fin des négociations, </w:t>
      </w:r>
      <w:r w:rsidR="003E1BA0" w:rsidRPr="009A1105">
        <w:rPr>
          <w:rFonts w:ascii="Arial" w:hAnsi="Arial" w:cs="Arial"/>
          <w:sz w:val="19"/>
          <w:szCs w:val="19"/>
          <w:lang w:val="fr-FR"/>
        </w:rPr>
        <w:t xml:space="preserve">une décision du Conseil et </w:t>
      </w:r>
      <w:r w:rsidRPr="009A1105">
        <w:rPr>
          <w:rFonts w:ascii="Arial" w:hAnsi="Arial" w:cs="Arial"/>
          <w:sz w:val="19"/>
          <w:szCs w:val="19"/>
          <w:lang w:val="fr-FR"/>
        </w:rPr>
        <w:t xml:space="preserve">de </w:t>
      </w:r>
      <w:r w:rsidR="003E1BA0" w:rsidRPr="009A1105">
        <w:rPr>
          <w:rFonts w:ascii="Arial" w:hAnsi="Arial" w:cs="Arial"/>
          <w:sz w:val="19"/>
          <w:szCs w:val="19"/>
          <w:lang w:val="fr-FR"/>
        </w:rPr>
        <w:t>la Commission suffi</w:t>
      </w:r>
      <w:r w:rsidRPr="009A1105">
        <w:rPr>
          <w:rFonts w:ascii="Arial" w:hAnsi="Arial" w:cs="Arial"/>
          <w:sz w:val="19"/>
          <w:szCs w:val="19"/>
          <w:lang w:val="fr-FR"/>
        </w:rPr>
        <w:t>ron</w:t>
      </w:r>
      <w:r w:rsidR="003E1BA0" w:rsidRPr="009A1105">
        <w:rPr>
          <w:rFonts w:ascii="Arial" w:hAnsi="Arial" w:cs="Arial"/>
          <w:sz w:val="19"/>
          <w:szCs w:val="19"/>
          <w:lang w:val="fr-FR"/>
        </w:rPr>
        <w:t>t pour ordonner une application « provisoire » (mais diffic</w:t>
      </w:r>
      <w:r w:rsidRPr="009A1105">
        <w:rPr>
          <w:rFonts w:ascii="Arial" w:hAnsi="Arial" w:cs="Arial"/>
          <w:sz w:val="19"/>
          <w:szCs w:val="19"/>
          <w:lang w:val="fr-FR"/>
        </w:rPr>
        <w:t>ilement réversible); tandis que</w:t>
      </w:r>
      <w:r w:rsidR="00124B5E" w:rsidRPr="009A1105">
        <w:rPr>
          <w:rFonts w:ascii="Arial" w:hAnsi="Arial" w:cs="Arial"/>
          <w:sz w:val="19"/>
          <w:szCs w:val="19"/>
          <w:lang w:val="fr-FR"/>
        </w:rPr>
        <w:t xml:space="preserve"> </w:t>
      </w:r>
      <w:r w:rsidRPr="009A1105">
        <w:rPr>
          <w:rFonts w:ascii="Arial" w:hAnsi="Arial" w:cs="Arial"/>
          <w:sz w:val="19"/>
          <w:szCs w:val="19"/>
          <w:lang w:val="fr-FR"/>
        </w:rPr>
        <w:t>les parlements ne pourront au final que</w:t>
      </w:r>
      <w:r w:rsidR="009D64B0" w:rsidRPr="009A1105">
        <w:rPr>
          <w:rFonts w:ascii="Arial" w:hAnsi="Arial" w:cs="Arial"/>
          <w:sz w:val="19"/>
          <w:szCs w:val="19"/>
          <w:lang w:val="fr-FR"/>
        </w:rPr>
        <w:t xml:space="preserve"> dire</w:t>
      </w:r>
      <w:r w:rsidRPr="009A1105">
        <w:rPr>
          <w:rFonts w:ascii="Arial" w:hAnsi="Arial" w:cs="Arial"/>
          <w:sz w:val="19"/>
          <w:szCs w:val="19"/>
          <w:lang w:val="fr-FR"/>
        </w:rPr>
        <w:t xml:space="preserve"> « </w:t>
      </w:r>
      <w:r w:rsidR="003E1BA0" w:rsidRPr="009A1105">
        <w:rPr>
          <w:rFonts w:ascii="Arial" w:hAnsi="Arial" w:cs="Arial"/>
          <w:sz w:val="19"/>
          <w:szCs w:val="19"/>
          <w:lang w:val="fr-FR"/>
        </w:rPr>
        <w:t>oui</w:t>
      </w:r>
      <w:r w:rsidRPr="009A1105">
        <w:rPr>
          <w:rFonts w:ascii="Arial" w:hAnsi="Arial" w:cs="Arial"/>
          <w:sz w:val="19"/>
          <w:szCs w:val="19"/>
          <w:lang w:val="fr-FR"/>
        </w:rPr>
        <w:t> »</w:t>
      </w:r>
      <w:r w:rsidR="003E1BA0" w:rsidRPr="009A1105">
        <w:rPr>
          <w:rFonts w:ascii="Arial" w:hAnsi="Arial" w:cs="Arial"/>
          <w:sz w:val="19"/>
          <w:szCs w:val="19"/>
          <w:lang w:val="fr-FR"/>
        </w:rPr>
        <w:t xml:space="preserve"> ou </w:t>
      </w:r>
      <w:r w:rsidRPr="009A1105">
        <w:rPr>
          <w:rFonts w:ascii="Arial" w:hAnsi="Arial" w:cs="Arial"/>
          <w:sz w:val="19"/>
          <w:szCs w:val="19"/>
          <w:lang w:val="fr-FR"/>
        </w:rPr>
        <w:t>« </w:t>
      </w:r>
      <w:r w:rsidR="003E1BA0" w:rsidRPr="009A1105">
        <w:rPr>
          <w:rFonts w:ascii="Arial" w:hAnsi="Arial" w:cs="Arial"/>
          <w:sz w:val="19"/>
          <w:szCs w:val="19"/>
          <w:lang w:val="fr-FR"/>
        </w:rPr>
        <w:t>non</w:t>
      </w:r>
      <w:r w:rsidRPr="009A1105">
        <w:rPr>
          <w:rFonts w:ascii="Arial" w:hAnsi="Arial" w:cs="Arial"/>
          <w:sz w:val="19"/>
          <w:szCs w:val="19"/>
          <w:lang w:val="fr-FR"/>
        </w:rPr>
        <w:t> » à l’ensemble de l’accord</w:t>
      </w:r>
      <w:r w:rsidR="00EE5754">
        <w:rPr>
          <w:rFonts w:ascii="Arial" w:hAnsi="Arial" w:cs="Arial"/>
          <w:sz w:val="19"/>
          <w:szCs w:val="19"/>
          <w:lang w:val="fr-FR"/>
        </w:rPr>
        <w:t xml:space="preserve"> qui affectera un spectre très large de domaines législatifs</w:t>
      </w:r>
      <w:r w:rsidR="003E1BA0" w:rsidRPr="009A1105">
        <w:rPr>
          <w:rFonts w:ascii="Arial" w:hAnsi="Arial" w:cs="Arial"/>
          <w:sz w:val="19"/>
          <w:szCs w:val="19"/>
          <w:lang w:val="fr-FR"/>
        </w:rPr>
        <w:t>.</w:t>
      </w:r>
    </w:p>
    <w:p w:rsidR="006E4F9E" w:rsidRDefault="006E4F9E" w:rsidP="006E4F9E">
      <w:pPr>
        <w:spacing w:after="60" w:line="255" w:lineRule="atLeast"/>
        <w:rPr>
          <w:rFonts w:ascii="Arial" w:hAnsi="Arial" w:cs="Arial"/>
          <w:b/>
          <w:sz w:val="19"/>
          <w:szCs w:val="19"/>
          <w:lang w:val="fr-FR"/>
        </w:rPr>
      </w:pPr>
    </w:p>
    <w:p w:rsidR="001A2963" w:rsidRPr="009A1105" w:rsidRDefault="001A2963" w:rsidP="006E4F9E">
      <w:pPr>
        <w:spacing w:after="60" w:line="255" w:lineRule="atLeast"/>
        <w:rPr>
          <w:rFonts w:ascii="Arial" w:hAnsi="Arial" w:cs="Arial"/>
          <w:b/>
          <w:sz w:val="19"/>
          <w:szCs w:val="19"/>
          <w:lang w:val="fr-FR"/>
        </w:rPr>
      </w:pPr>
      <w:r w:rsidRPr="009A1105">
        <w:rPr>
          <w:rFonts w:ascii="Arial" w:hAnsi="Arial" w:cs="Arial"/>
          <w:b/>
          <w:sz w:val="19"/>
          <w:szCs w:val="19"/>
          <w:lang w:val="fr-FR"/>
        </w:rPr>
        <w:t>Concernant les pays tiers et les pays en voie de développ</w:t>
      </w:r>
      <w:r w:rsidR="00772605" w:rsidRPr="009A1105">
        <w:rPr>
          <w:rFonts w:ascii="Arial" w:hAnsi="Arial" w:cs="Arial"/>
          <w:b/>
          <w:sz w:val="19"/>
          <w:szCs w:val="19"/>
          <w:lang w:val="fr-FR"/>
        </w:rPr>
        <w:t>e</w:t>
      </w:r>
      <w:r w:rsidRPr="009A1105">
        <w:rPr>
          <w:rFonts w:ascii="Arial" w:hAnsi="Arial" w:cs="Arial"/>
          <w:b/>
          <w:sz w:val="19"/>
          <w:szCs w:val="19"/>
          <w:lang w:val="fr-FR"/>
        </w:rPr>
        <w:t>ment</w:t>
      </w:r>
    </w:p>
    <w:p w:rsidR="00EE5754" w:rsidRPr="006E4F9E" w:rsidRDefault="00EE5754" w:rsidP="006E4F9E">
      <w:pPr>
        <w:numPr>
          <w:ilvl w:val="0"/>
          <w:numId w:val="7"/>
        </w:numPr>
        <w:spacing w:after="60" w:line="255" w:lineRule="atLeast"/>
        <w:ind w:left="360" w:hanging="218"/>
        <w:rPr>
          <w:rStyle w:val="author-g-le0dpvp2xwxurhkr"/>
          <w:rFonts w:ascii="Arial" w:hAnsi="Arial" w:cs="Arial"/>
          <w:sz w:val="19"/>
          <w:szCs w:val="19"/>
          <w:lang w:val="fr-FR"/>
        </w:rPr>
      </w:pPr>
      <w:r w:rsidRPr="006E4F9E">
        <w:rPr>
          <w:rStyle w:val="author-g-le0dpvp2xwxurhkr"/>
          <w:rFonts w:ascii="Arial" w:hAnsi="Arial" w:cs="Arial"/>
          <w:sz w:val="19"/>
          <w:szCs w:val="19"/>
          <w:lang w:val="fr-FR"/>
        </w:rPr>
        <w:t>Le TTIP est explicitement annoncé comme visant à imposer au reste du monde des règles négociées entre les deux plus grands marchés du monde, règles qui ont pour beaucoup été refusées par les pays en développement dans le cadre de l'OMC (sur la libéralisation des marchés publics et des investissements notamment). La complexité du nouveau monde multipolaire appelle à réinventer le dialogue multilatéral et pas à foncer dans une logique de blocs qui s’opposent.</w:t>
      </w:r>
    </w:p>
    <w:p w:rsidR="00C5089E" w:rsidRPr="006E4F9E" w:rsidRDefault="00EE5754" w:rsidP="006E4F9E">
      <w:pPr>
        <w:numPr>
          <w:ilvl w:val="0"/>
          <w:numId w:val="7"/>
        </w:numPr>
        <w:spacing w:after="60" w:line="255" w:lineRule="atLeast"/>
        <w:ind w:left="360" w:hanging="218"/>
        <w:rPr>
          <w:rStyle w:val="author-g-le0dpvp2xwxurhkr"/>
          <w:lang w:val="fr-BE"/>
        </w:rPr>
      </w:pPr>
      <w:r w:rsidRPr="006E4F9E">
        <w:rPr>
          <w:rStyle w:val="author-g-le0dpvp2xwxurhkr"/>
          <w:rFonts w:ascii="Arial" w:hAnsi="Arial" w:cs="Arial"/>
          <w:sz w:val="19"/>
          <w:szCs w:val="19"/>
          <w:lang w:val="fr-FR"/>
        </w:rPr>
        <w:t>Une libéralisation profonde du commerce entre les États-Unis et l’UE et une reconnaissance mutuelle exclusive nuiront aux échanges intra-européens</w:t>
      </w:r>
      <w:r w:rsidR="009D7E6A">
        <w:rPr>
          <w:rStyle w:val="author-g-le0dpvp2xwxurhkr"/>
          <w:rFonts w:ascii="Arial" w:hAnsi="Arial" w:cs="Arial"/>
          <w:sz w:val="19"/>
          <w:szCs w:val="19"/>
          <w:lang w:val="fr-FR"/>
        </w:rPr>
        <w:t xml:space="preserve"> et</w:t>
      </w:r>
      <w:r w:rsidRPr="006E4F9E">
        <w:rPr>
          <w:rStyle w:val="author-g-le0dpvp2xwxurhkr"/>
          <w:rFonts w:ascii="Arial" w:hAnsi="Arial" w:cs="Arial"/>
          <w:sz w:val="19"/>
          <w:szCs w:val="19"/>
          <w:lang w:val="fr-FR"/>
        </w:rPr>
        <w:t xml:space="preserve"> réduiront la part de marché des pays tiers, y compris les pays en voie de développement. Certaines études </w:t>
      </w:r>
      <w:r w:rsidR="009D7E6A">
        <w:rPr>
          <w:rStyle w:val="author-g-le0dpvp2xwxurhkr"/>
          <w:rFonts w:ascii="Arial" w:hAnsi="Arial" w:cs="Arial"/>
          <w:sz w:val="19"/>
          <w:szCs w:val="19"/>
          <w:lang w:val="fr-FR"/>
        </w:rPr>
        <w:t xml:space="preserve">prévoient </w:t>
      </w:r>
      <w:r w:rsidRPr="006E4F9E">
        <w:rPr>
          <w:rStyle w:val="author-g-le0dpvp2xwxurhkr"/>
          <w:rFonts w:ascii="Arial" w:hAnsi="Arial" w:cs="Arial"/>
          <w:sz w:val="19"/>
          <w:szCs w:val="19"/>
          <w:lang w:val="fr-FR"/>
        </w:rPr>
        <w:t>des baisses des exportations jusque 34% pour la Thaïlande ou l'Indonésie, d'autres prévoient des pertes de revenus de 7,4% pour la Guinée ou encore 4,1% pour le Botswana.</w:t>
      </w:r>
    </w:p>
    <w:p w:rsidR="00EE5754" w:rsidRPr="006E4F9E" w:rsidRDefault="00EE5754">
      <w:pPr>
        <w:spacing w:line="255" w:lineRule="atLeast"/>
        <w:rPr>
          <w:rFonts w:ascii="Arial" w:hAnsi="Arial" w:cs="Arial"/>
          <w:sz w:val="19"/>
          <w:szCs w:val="19"/>
          <w:lang w:val="fr-BE"/>
        </w:rPr>
      </w:pPr>
    </w:p>
    <w:p w:rsidR="00C5089E" w:rsidRPr="006E4F9E" w:rsidRDefault="00C5089E">
      <w:pPr>
        <w:spacing w:line="255" w:lineRule="atLeast"/>
        <w:rPr>
          <w:rFonts w:ascii="Arial" w:hAnsi="Arial" w:cs="Arial"/>
          <w:sz w:val="19"/>
          <w:szCs w:val="19"/>
          <w:lang w:val="fr-FR"/>
        </w:rPr>
      </w:pPr>
      <w:r w:rsidRPr="006E4F9E">
        <w:rPr>
          <w:rFonts w:ascii="Arial" w:hAnsi="Arial" w:cs="Arial"/>
          <w:sz w:val="19"/>
          <w:szCs w:val="19"/>
          <w:lang w:val="fr-FR"/>
        </w:rPr>
        <w:t xml:space="preserve">Pour ces raisons et de nombreuses autres, </w:t>
      </w:r>
      <w:r w:rsidR="005E68E4" w:rsidRPr="006E4F9E">
        <w:rPr>
          <w:rFonts w:ascii="Arial" w:hAnsi="Arial" w:cs="Arial"/>
          <w:sz w:val="19"/>
          <w:szCs w:val="19"/>
          <w:lang w:val="fr-FR"/>
        </w:rPr>
        <w:t>les</w:t>
      </w:r>
      <w:r w:rsidRPr="006E4F9E">
        <w:rPr>
          <w:rFonts w:ascii="Arial" w:hAnsi="Arial" w:cs="Arial"/>
          <w:sz w:val="19"/>
          <w:szCs w:val="19"/>
          <w:lang w:val="fr-FR"/>
        </w:rPr>
        <w:t xml:space="preserve"> organisations belges de défense des travailleurs, des consommateurs, de l'environnement, du droit à la santé et de la soli</w:t>
      </w:r>
      <w:r w:rsidR="00772605" w:rsidRPr="006E4F9E">
        <w:rPr>
          <w:rFonts w:ascii="Arial" w:hAnsi="Arial" w:cs="Arial"/>
          <w:sz w:val="19"/>
          <w:szCs w:val="19"/>
          <w:lang w:val="fr-FR"/>
        </w:rPr>
        <w:t>darité internationale, adressent</w:t>
      </w:r>
      <w:r w:rsidRPr="006E4F9E">
        <w:rPr>
          <w:rFonts w:ascii="Arial" w:hAnsi="Arial" w:cs="Arial"/>
          <w:sz w:val="19"/>
          <w:szCs w:val="19"/>
          <w:lang w:val="fr-FR"/>
        </w:rPr>
        <w:t xml:space="preserve"> le message suivant à toutes les autorités belges concernées:</w:t>
      </w:r>
    </w:p>
    <w:p w:rsidR="00C5089E" w:rsidRPr="009A1105" w:rsidRDefault="00C5089E" w:rsidP="00C5089E">
      <w:pPr>
        <w:spacing w:line="255" w:lineRule="atLeast"/>
        <w:rPr>
          <w:rFonts w:ascii="Arial" w:hAnsi="Arial" w:cs="Arial"/>
          <w:sz w:val="19"/>
          <w:szCs w:val="19"/>
          <w:lang w:val="fr-FR"/>
        </w:rPr>
      </w:pPr>
    </w:p>
    <w:p w:rsidR="00C5089E" w:rsidRPr="009A1105" w:rsidRDefault="00C5089E" w:rsidP="00C5089E">
      <w:pPr>
        <w:spacing w:line="255" w:lineRule="atLeast"/>
        <w:rPr>
          <w:rFonts w:ascii="Arial" w:hAnsi="Arial" w:cs="Arial"/>
          <w:sz w:val="19"/>
          <w:szCs w:val="19"/>
          <w:lang w:val="fr-FR"/>
        </w:rPr>
      </w:pPr>
      <w:r w:rsidRPr="009A1105">
        <w:rPr>
          <w:rStyle w:val="author-g-bmsh6e7h2v8d1tqt"/>
          <w:rFonts w:ascii="Arial" w:hAnsi="Arial" w:cs="Arial"/>
          <w:b/>
          <w:bCs/>
          <w:sz w:val="19"/>
          <w:szCs w:val="19"/>
          <w:lang w:val="fr-FR"/>
        </w:rPr>
        <w:t xml:space="preserve">La société civile s'unit autour de demandes communes : </w:t>
      </w:r>
      <w:r w:rsidRPr="009A1105">
        <w:rPr>
          <w:rStyle w:val="b"/>
          <w:rFonts w:ascii="Arial" w:hAnsi="Arial" w:cs="Arial"/>
          <w:b/>
          <w:bCs/>
          <w:sz w:val="19"/>
          <w:szCs w:val="19"/>
          <w:lang w:val="fr-FR"/>
        </w:rPr>
        <w:t xml:space="preserve">Nous refusons des traités transatlantiques </w:t>
      </w:r>
      <w:r w:rsidRPr="009A1105">
        <w:rPr>
          <w:rStyle w:val="author-g-bmsh6e7h2v8d1tqt"/>
          <w:rFonts w:ascii="Arial" w:hAnsi="Arial" w:cs="Arial"/>
          <w:b/>
          <w:bCs/>
          <w:sz w:val="19"/>
          <w:szCs w:val="19"/>
          <w:lang w:val="fr-FR"/>
        </w:rPr>
        <w:t xml:space="preserve">non </w:t>
      </w:r>
      <w:r w:rsidRPr="009A1105">
        <w:rPr>
          <w:rStyle w:val="b"/>
          <w:rFonts w:ascii="Arial" w:hAnsi="Arial" w:cs="Arial"/>
          <w:b/>
          <w:bCs/>
          <w:sz w:val="19"/>
          <w:szCs w:val="19"/>
          <w:lang w:val="fr-FR"/>
        </w:rPr>
        <w:t>démocratiques basés sur la dérégulation. </w:t>
      </w:r>
    </w:p>
    <w:p w:rsidR="00C5089E" w:rsidRPr="009A1105" w:rsidRDefault="00C5089E" w:rsidP="00C5089E">
      <w:pPr>
        <w:spacing w:line="255" w:lineRule="atLeast"/>
        <w:rPr>
          <w:rFonts w:ascii="Arial" w:hAnsi="Arial" w:cs="Arial"/>
          <w:sz w:val="19"/>
          <w:szCs w:val="19"/>
          <w:lang w:val="fr-FR"/>
        </w:rPr>
      </w:pPr>
    </w:p>
    <w:p w:rsidR="00C5089E" w:rsidRPr="009A1105" w:rsidRDefault="00C5089E" w:rsidP="00C5089E">
      <w:pPr>
        <w:spacing w:line="255" w:lineRule="atLeast"/>
        <w:rPr>
          <w:rFonts w:ascii="Arial" w:hAnsi="Arial" w:cs="Arial"/>
          <w:sz w:val="19"/>
          <w:szCs w:val="19"/>
          <w:lang w:val="fr-FR"/>
        </w:rPr>
      </w:pPr>
      <w:r w:rsidRPr="006E4F9E">
        <w:rPr>
          <w:rFonts w:ascii="Arial" w:hAnsi="Arial" w:cs="Arial"/>
          <w:b/>
          <w:sz w:val="19"/>
          <w:szCs w:val="19"/>
          <w:lang w:val="fr-FR"/>
        </w:rPr>
        <w:t>1-</w:t>
      </w:r>
      <w:r w:rsidRPr="009A1105">
        <w:rPr>
          <w:rFonts w:ascii="Arial" w:hAnsi="Arial" w:cs="Arial"/>
          <w:sz w:val="19"/>
          <w:szCs w:val="19"/>
          <w:lang w:val="fr-FR"/>
        </w:rPr>
        <w:t xml:space="preserve"> Les négociations du TTIP </w:t>
      </w:r>
      <w:r w:rsidRPr="009A1105">
        <w:rPr>
          <w:rStyle w:val="b"/>
          <w:rFonts w:ascii="Arial" w:hAnsi="Arial" w:cs="Arial"/>
          <w:b/>
          <w:bCs/>
          <w:sz w:val="19"/>
          <w:szCs w:val="19"/>
          <w:u w:val="single"/>
          <w:lang w:val="fr-FR"/>
        </w:rPr>
        <w:t>ne peuvent continuer sur la base du mandat actuel</w:t>
      </w:r>
      <w:r w:rsidRPr="009A1105">
        <w:rPr>
          <w:rFonts w:ascii="Arial" w:hAnsi="Arial" w:cs="Arial"/>
          <w:sz w:val="19"/>
          <w:szCs w:val="19"/>
          <w:lang w:val="fr-FR"/>
        </w:rPr>
        <w:t>, et ne pourraient reprendre que sur base d'</w:t>
      </w:r>
      <w:r w:rsidRPr="009A1105">
        <w:rPr>
          <w:rStyle w:val="b"/>
          <w:rFonts w:ascii="Arial" w:hAnsi="Arial" w:cs="Arial"/>
          <w:b/>
          <w:bCs/>
          <w:sz w:val="19"/>
          <w:szCs w:val="19"/>
          <w:lang w:val="fr-FR"/>
        </w:rPr>
        <w:t>un tout autre mandat</w:t>
      </w:r>
      <w:r w:rsidR="008F3925" w:rsidRPr="009A1105">
        <w:rPr>
          <w:rStyle w:val="b"/>
          <w:rFonts w:ascii="Arial" w:hAnsi="Arial" w:cs="Arial"/>
          <w:b/>
          <w:bCs/>
          <w:sz w:val="19"/>
          <w:szCs w:val="19"/>
          <w:lang w:val="fr-FR"/>
        </w:rPr>
        <w:t xml:space="preserve"> et </w:t>
      </w:r>
      <w:r w:rsidR="009D64B0" w:rsidRPr="009A1105">
        <w:rPr>
          <w:rStyle w:val="b"/>
          <w:rFonts w:ascii="Arial" w:hAnsi="Arial" w:cs="Arial"/>
          <w:b/>
          <w:bCs/>
          <w:sz w:val="19"/>
          <w:szCs w:val="19"/>
          <w:lang w:val="fr-FR"/>
        </w:rPr>
        <w:t xml:space="preserve">d’une tout autre </w:t>
      </w:r>
      <w:r w:rsidR="008F3925" w:rsidRPr="009A1105">
        <w:rPr>
          <w:rStyle w:val="b"/>
          <w:rFonts w:ascii="Arial" w:hAnsi="Arial" w:cs="Arial"/>
          <w:b/>
          <w:bCs/>
          <w:sz w:val="19"/>
          <w:szCs w:val="19"/>
          <w:lang w:val="fr-FR"/>
        </w:rPr>
        <w:t>façon de faire</w:t>
      </w:r>
      <w:r w:rsidRPr="009A1105">
        <w:rPr>
          <w:rFonts w:ascii="Arial" w:hAnsi="Arial" w:cs="Arial"/>
          <w:sz w:val="19"/>
          <w:szCs w:val="19"/>
          <w:lang w:val="fr-FR"/>
        </w:rPr>
        <w:t xml:space="preserve">, s’il respecte </w:t>
      </w:r>
      <w:r w:rsidRPr="009A1105">
        <w:rPr>
          <w:rStyle w:val="author-p-104400"/>
          <w:rFonts w:ascii="Arial" w:hAnsi="Arial" w:cs="Arial"/>
          <w:sz w:val="19"/>
          <w:szCs w:val="19"/>
          <w:lang w:val="fr-FR"/>
        </w:rPr>
        <w:t xml:space="preserve">au moins </w:t>
      </w:r>
      <w:r w:rsidRPr="009A1105">
        <w:rPr>
          <w:rFonts w:ascii="Arial" w:hAnsi="Arial" w:cs="Arial"/>
          <w:sz w:val="19"/>
          <w:szCs w:val="19"/>
          <w:lang w:val="fr-FR"/>
        </w:rPr>
        <w:t>les balises suivantes: </w:t>
      </w:r>
    </w:p>
    <w:p w:rsidR="00C5089E" w:rsidRPr="009A1105" w:rsidRDefault="00C5089E" w:rsidP="00C5089E">
      <w:pPr>
        <w:spacing w:line="255" w:lineRule="atLeast"/>
        <w:rPr>
          <w:rFonts w:ascii="Arial" w:hAnsi="Arial" w:cs="Arial"/>
          <w:sz w:val="19"/>
          <w:szCs w:val="19"/>
          <w:lang w:val="fr-FR"/>
        </w:rPr>
      </w:pPr>
      <w:r w:rsidRPr="009A1105">
        <w:rPr>
          <w:rFonts w:ascii="Arial" w:hAnsi="Arial" w:cs="Arial"/>
          <w:sz w:val="19"/>
          <w:szCs w:val="19"/>
          <w:lang w:val="fr-FR"/>
        </w:rPr>
        <w:t>- p</w:t>
      </w:r>
      <w:r w:rsidR="008A2404">
        <w:rPr>
          <w:rFonts w:ascii="Arial" w:hAnsi="Arial" w:cs="Arial"/>
          <w:sz w:val="19"/>
          <w:szCs w:val="19"/>
          <w:lang w:val="fr-FR"/>
        </w:rPr>
        <w:t>as de clause d'arbitrage "ISDS" ;</w:t>
      </w:r>
      <w:r w:rsidRPr="009A1105">
        <w:rPr>
          <w:rFonts w:ascii="Arial" w:hAnsi="Arial" w:cs="Arial"/>
          <w:sz w:val="19"/>
          <w:szCs w:val="19"/>
          <w:lang w:val="fr-FR"/>
        </w:rPr>
        <w:t> </w:t>
      </w:r>
    </w:p>
    <w:p w:rsidR="00C5089E" w:rsidRPr="009A1105" w:rsidRDefault="00C5089E" w:rsidP="00C5089E">
      <w:pPr>
        <w:spacing w:line="255" w:lineRule="atLeast"/>
        <w:rPr>
          <w:rFonts w:ascii="Arial" w:hAnsi="Arial" w:cs="Arial"/>
          <w:sz w:val="19"/>
          <w:szCs w:val="19"/>
          <w:lang w:val="fr-FR"/>
        </w:rPr>
      </w:pPr>
      <w:r w:rsidRPr="009A1105">
        <w:rPr>
          <w:rFonts w:ascii="Arial" w:hAnsi="Arial" w:cs="Arial"/>
          <w:sz w:val="19"/>
          <w:szCs w:val="19"/>
          <w:lang w:val="fr-FR"/>
        </w:rPr>
        <w:t>- pas d'harmonisation des réglementation</w:t>
      </w:r>
      <w:r w:rsidRPr="009A1105">
        <w:rPr>
          <w:rStyle w:val="author-g-le0dpvp2xwxurhkr"/>
          <w:rFonts w:ascii="Arial" w:hAnsi="Arial" w:cs="Arial"/>
          <w:sz w:val="19"/>
          <w:szCs w:val="19"/>
          <w:lang w:val="fr-FR"/>
        </w:rPr>
        <w:t>s</w:t>
      </w:r>
      <w:r w:rsidRPr="009A1105">
        <w:rPr>
          <w:rFonts w:ascii="Arial" w:hAnsi="Arial" w:cs="Arial"/>
          <w:sz w:val="19"/>
          <w:szCs w:val="19"/>
          <w:lang w:val="fr-FR"/>
        </w:rPr>
        <w:t xml:space="preserve"> qui risque d'affaiblir nos normes et de freiner le progrès social;</w:t>
      </w:r>
    </w:p>
    <w:p w:rsidR="00C5089E" w:rsidRPr="009A1105" w:rsidRDefault="00C5089E" w:rsidP="00C5089E">
      <w:pPr>
        <w:spacing w:line="255" w:lineRule="atLeast"/>
        <w:rPr>
          <w:rFonts w:ascii="Arial" w:hAnsi="Arial" w:cs="Arial"/>
          <w:sz w:val="19"/>
          <w:szCs w:val="19"/>
          <w:lang w:val="fr-FR"/>
        </w:rPr>
      </w:pPr>
      <w:r w:rsidRPr="009A1105">
        <w:rPr>
          <w:rStyle w:val="author-g-eyandz122z54qq1os7s9"/>
          <w:rFonts w:ascii="Arial" w:hAnsi="Arial" w:cs="Arial"/>
          <w:sz w:val="19"/>
          <w:szCs w:val="19"/>
          <w:lang w:val="fr-FR"/>
        </w:rPr>
        <w:lastRenderedPageBreak/>
        <w:t xml:space="preserve">- </w:t>
      </w:r>
      <w:r w:rsidR="00AB078F" w:rsidRPr="009A1105">
        <w:rPr>
          <w:rStyle w:val="author-g-eyandz122z54qq1os7s9"/>
          <w:rFonts w:ascii="Arial" w:hAnsi="Arial" w:cs="Arial"/>
          <w:sz w:val="19"/>
          <w:szCs w:val="19"/>
          <w:lang w:val="fr-FR"/>
        </w:rPr>
        <w:t>pas de destruction des lois et de</w:t>
      </w:r>
      <w:r w:rsidR="009D64B0" w:rsidRPr="009A1105">
        <w:rPr>
          <w:rStyle w:val="author-g-eyandz122z54qq1os7s9"/>
          <w:rFonts w:ascii="Arial" w:hAnsi="Arial" w:cs="Arial"/>
          <w:sz w:val="19"/>
          <w:szCs w:val="19"/>
          <w:lang w:val="fr-FR"/>
        </w:rPr>
        <w:t>s</w:t>
      </w:r>
      <w:r w:rsidR="00AB078F" w:rsidRPr="009A1105">
        <w:rPr>
          <w:rStyle w:val="author-g-eyandz122z54qq1os7s9"/>
          <w:rFonts w:ascii="Arial" w:hAnsi="Arial" w:cs="Arial"/>
          <w:sz w:val="19"/>
          <w:szCs w:val="19"/>
          <w:lang w:val="fr-FR"/>
        </w:rPr>
        <w:t xml:space="preserve"> règlementations qui protègent les consommateurs et l’environnement;</w:t>
      </w:r>
    </w:p>
    <w:p w:rsidR="00C5089E" w:rsidRPr="009A1105" w:rsidRDefault="00C5089E" w:rsidP="005F0424">
      <w:pPr>
        <w:spacing w:line="255" w:lineRule="atLeast"/>
        <w:ind w:left="142" w:hanging="142"/>
        <w:rPr>
          <w:rFonts w:ascii="Arial" w:hAnsi="Arial" w:cs="Arial"/>
          <w:sz w:val="19"/>
          <w:szCs w:val="19"/>
          <w:lang w:val="fr-FR"/>
        </w:rPr>
      </w:pPr>
      <w:r w:rsidRPr="009A1105">
        <w:rPr>
          <w:rFonts w:ascii="Arial" w:hAnsi="Arial" w:cs="Arial"/>
          <w:sz w:val="19"/>
          <w:szCs w:val="19"/>
          <w:lang w:val="fr-FR"/>
        </w:rPr>
        <w:t xml:space="preserve">- une protection et une promotion sans équivoque des services publics </w:t>
      </w:r>
      <w:r w:rsidR="005F0424" w:rsidRPr="008A2404">
        <w:rPr>
          <w:rFonts w:ascii="Arial" w:hAnsi="Arial" w:cs="Arial"/>
          <w:sz w:val="19"/>
          <w:szCs w:val="19"/>
          <w:lang w:val="fr-FR"/>
        </w:rPr>
        <w:t>et services d’intérêt</w:t>
      </w:r>
      <w:r w:rsidR="005F0424" w:rsidRPr="005F0424">
        <w:rPr>
          <w:rFonts w:ascii="Arial" w:hAnsi="Arial" w:cs="Arial"/>
          <w:sz w:val="19"/>
          <w:szCs w:val="19"/>
          <w:lang w:val="fr-FR"/>
        </w:rPr>
        <w:t xml:space="preserve"> général </w:t>
      </w:r>
      <w:r w:rsidRPr="009A1105">
        <w:rPr>
          <w:rFonts w:ascii="Arial" w:hAnsi="Arial" w:cs="Arial"/>
          <w:sz w:val="19"/>
          <w:szCs w:val="19"/>
          <w:lang w:val="fr-FR"/>
        </w:rPr>
        <w:t>présents et futurs;</w:t>
      </w:r>
    </w:p>
    <w:p w:rsidR="00C5089E" w:rsidRPr="009A1105" w:rsidRDefault="00C5089E" w:rsidP="00C5089E">
      <w:pPr>
        <w:spacing w:line="255" w:lineRule="atLeast"/>
        <w:rPr>
          <w:rFonts w:ascii="Arial" w:hAnsi="Arial" w:cs="Arial"/>
          <w:sz w:val="19"/>
          <w:szCs w:val="19"/>
          <w:lang w:val="fr-FR"/>
        </w:rPr>
      </w:pPr>
      <w:r w:rsidRPr="009A1105">
        <w:rPr>
          <w:rFonts w:ascii="Arial" w:hAnsi="Arial" w:cs="Arial"/>
          <w:sz w:val="19"/>
          <w:szCs w:val="19"/>
          <w:lang w:val="fr-FR"/>
        </w:rPr>
        <w:t>- un tout autre partenariat qui fait passer les droits des citoyens a</w:t>
      </w:r>
      <w:r w:rsidR="008A2404">
        <w:rPr>
          <w:rFonts w:ascii="Arial" w:hAnsi="Arial" w:cs="Arial"/>
          <w:sz w:val="19"/>
          <w:szCs w:val="19"/>
          <w:lang w:val="fr-FR"/>
        </w:rPr>
        <w:t>vant l'augmentation du commerce ;</w:t>
      </w:r>
    </w:p>
    <w:p w:rsidR="00C5089E" w:rsidRDefault="00C5089E" w:rsidP="00B108C9">
      <w:pPr>
        <w:tabs>
          <w:tab w:val="left" w:pos="142"/>
        </w:tabs>
        <w:spacing w:line="255" w:lineRule="atLeast"/>
        <w:ind w:left="142" w:hanging="142"/>
        <w:rPr>
          <w:rStyle w:val="author-p-104400"/>
          <w:rFonts w:ascii="Arial" w:hAnsi="Arial" w:cs="Arial"/>
          <w:sz w:val="19"/>
          <w:szCs w:val="19"/>
          <w:lang w:val="fr-FR"/>
        </w:rPr>
      </w:pPr>
      <w:r w:rsidRPr="009A1105">
        <w:rPr>
          <w:rStyle w:val="author-p-104400"/>
          <w:rFonts w:ascii="Arial" w:hAnsi="Arial" w:cs="Arial"/>
          <w:sz w:val="19"/>
          <w:szCs w:val="19"/>
          <w:lang w:val="fr-FR"/>
        </w:rPr>
        <w:t>- pas de déréglementation des services f</w:t>
      </w:r>
      <w:r w:rsidR="009D64B0" w:rsidRPr="009A1105">
        <w:rPr>
          <w:rStyle w:val="author-p-104400"/>
          <w:rFonts w:ascii="Arial" w:hAnsi="Arial" w:cs="Arial"/>
          <w:sz w:val="19"/>
          <w:szCs w:val="19"/>
          <w:lang w:val="fr-FR"/>
        </w:rPr>
        <w:t>inanciers mais plutôt une collaboration</w:t>
      </w:r>
      <w:r w:rsidRPr="009A1105">
        <w:rPr>
          <w:rStyle w:val="author-p-104400"/>
          <w:rFonts w:ascii="Arial" w:hAnsi="Arial" w:cs="Arial"/>
          <w:sz w:val="19"/>
          <w:szCs w:val="19"/>
          <w:lang w:val="fr-FR"/>
        </w:rPr>
        <w:t xml:space="preserve"> pour </w:t>
      </w:r>
      <w:r w:rsidR="005C515E" w:rsidRPr="009A1105">
        <w:rPr>
          <w:rStyle w:val="author-p-104400"/>
          <w:rFonts w:ascii="Arial" w:hAnsi="Arial" w:cs="Arial"/>
          <w:sz w:val="19"/>
          <w:szCs w:val="19"/>
          <w:lang w:val="fr-FR"/>
        </w:rPr>
        <w:t xml:space="preserve">assurer la stabilité du système financier et pour </w:t>
      </w:r>
      <w:r w:rsidRPr="009A1105">
        <w:rPr>
          <w:rStyle w:val="author-p-104400"/>
          <w:rFonts w:ascii="Arial" w:hAnsi="Arial" w:cs="Arial"/>
          <w:sz w:val="19"/>
          <w:szCs w:val="19"/>
          <w:lang w:val="fr-FR"/>
        </w:rPr>
        <w:t>mettre la finance au service de l'intérêt général</w:t>
      </w:r>
      <w:r w:rsidR="008A2404">
        <w:rPr>
          <w:rStyle w:val="author-p-104400"/>
          <w:rFonts w:ascii="Arial" w:hAnsi="Arial" w:cs="Arial"/>
          <w:sz w:val="19"/>
          <w:szCs w:val="19"/>
          <w:lang w:val="fr-FR"/>
        </w:rPr>
        <w:t> ;</w:t>
      </w:r>
    </w:p>
    <w:p w:rsidR="00C5089E" w:rsidRDefault="00B108C9" w:rsidP="00B108C9">
      <w:pPr>
        <w:tabs>
          <w:tab w:val="left" w:pos="142"/>
        </w:tabs>
        <w:spacing w:line="255" w:lineRule="atLeast"/>
        <w:ind w:left="142" w:hanging="142"/>
        <w:rPr>
          <w:rFonts w:ascii="Arial" w:hAnsi="Arial" w:cs="Arial"/>
          <w:sz w:val="19"/>
          <w:szCs w:val="19"/>
          <w:lang w:val="fr-FR"/>
        </w:rPr>
      </w:pPr>
      <w:r w:rsidRPr="009A1105">
        <w:rPr>
          <w:rFonts w:ascii="Arial" w:hAnsi="Arial" w:cs="Arial"/>
          <w:sz w:val="19"/>
          <w:szCs w:val="19"/>
          <w:lang w:val="fr-FR"/>
        </w:rPr>
        <w:t xml:space="preserve">- des </w:t>
      </w:r>
      <w:r w:rsidRPr="00616C0D">
        <w:rPr>
          <w:rFonts w:ascii="Arial" w:hAnsi="Arial" w:cs="Arial"/>
          <w:sz w:val="19"/>
          <w:szCs w:val="19"/>
          <w:lang w:val="fr-FR"/>
        </w:rPr>
        <w:t xml:space="preserve">clauses </w:t>
      </w:r>
      <w:r w:rsidRPr="009A1105">
        <w:rPr>
          <w:rFonts w:ascii="Arial" w:hAnsi="Arial" w:cs="Arial"/>
          <w:sz w:val="19"/>
          <w:szCs w:val="19"/>
          <w:lang w:val="fr-FR"/>
        </w:rPr>
        <w:t>sociales et environnementales élevées et contraignantes</w:t>
      </w:r>
      <w:r w:rsidRPr="00616C0D">
        <w:rPr>
          <w:rFonts w:ascii="Arial" w:hAnsi="Arial" w:cs="Arial"/>
          <w:sz w:val="19"/>
          <w:szCs w:val="19"/>
          <w:lang w:val="fr-FR"/>
        </w:rPr>
        <w:t>, garantissant les droits des travailleurs et protégeant le principe de précaution, faisant primer ces valeurs sur le simple accroissement quantitatif du commerce, avec des mécanismes de plaintes et de sanctions persuasifs et participatifs pour faire respecter ces clauses</w:t>
      </w:r>
      <w:r w:rsidRPr="008A2404">
        <w:rPr>
          <w:rFonts w:ascii="Arial" w:hAnsi="Arial" w:cs="Arial"/>
          <w:sz w:val="19"/>
          <w:szCs w:val="19"/>
          <w:lang w:val="fr-FR"/>
        </w:rPr>
        <w:t>, tenant compte des processus existants (tels ceux existant à l'OIT pour les normes du Travail), pour faire respecter ces clauses.</w:t>
      </w:r>
    </w:p>
    <w:p w:rsidR="00C5089E" w:rsidRPr="009A1105" w:rsidRDefault="00C5089E" w:rsidP="00C5089E">
      <w:pPr>
        <w:spacing w:line="255" w:lineRule="atLeast"/>
        <w:rPr>
          <w:rFonts w:ascii="Arial" w:hAnsi="Arial" w:cs="Arial"/>
          <w:sz w:val="19"/>
          <w:szCs w:val="19"/>
          <w:lang w:val="fr-FR"/>
        </w:rPr>
      </w:pPr>
      <w:r w:rsidRPr="006E4F9E">
        <w:rPr>
          <w:rFonts w:ascii="Arial" w:hAnsi="Arial" w:cs="Arial"/>
          <w:sz w:val="19"/>
          <w:szCs w:val="19"/>
          <w:lang w:val="fr-FR"/>
        </w:rPr>
        <w:t>2-</w:t>
      </w:r>
      <w:r w:rsidRPr="009A1105">
        <w:rPr>
          <w:rFonts w:ascii="Arial" w:hAnsi="Arial" w:cs="Arial"/>
          <w:sz w:val="19"/>
          <w:szCs w:val="19"/>
          <w:lang w:val="fr-FR"/>
        </w:rPr>
        <w:t xml:space="preserve"> Nous demandons </w:t>
      </w:r>
      <w:r w:rsidRPr="009A1105">
        <w:rPr>
          <w:rStyle w:val="b"/>
          <w:rFonts w:ascii="Arial" w:hAnsi="Arial" w:cs="Arial"/>
          <w:b/>
          <w:bCs/>
          <w:sz w:val="19"/>
          <w:szCs w:val="19"/>
          <w:u w:val="single"/>
          <w:lang w:val="fr-FR"/>
        </w:rPr>
        <w:t>un processus profondément démocratique :</w:t>
      </w:r>
      <w:r w:rsidRPr="009A1105">
        <w:rPr>
          <w:rFonts w:ascii="Arial" w:hAnsi="Arial" w:cs="Arial"/>
          <w:sz w:val="19"/>
          <w:szCs w:val="19"/>
          <w:lang w:val="fr-FR"/>
        </w:rPr>
        <w:t xml:space="preserve"> une vraie transparence et un vrai débat public en Belgique sur ces traités. Les domaines de nos vies qui seraient impactés par ces traités sont trop vastes, et les impacts possibles trop dramatiques, pour se contenter d'échanges superficiels et généralistes. Un travail démocratique sérieux nécessite</w:t>
      </w:r>
      <w:r w:rsidR="008F3925" w:rsidRPr="009A1105">
        <w:rPr>
          <w:rFonts w:ascii="Arial" w:hAnsi="Arial" w:cs="Arial"/>
          <w:sz w:val="19"/>
          <w:szCs w:val="19"/>
          <w:lang w:val="fr-FR"/>
        </w:rPr>
        <w:t xml:space="preserve"> </w:t>
      </w:r>
      <w:r w:rsidRPr="009A1105">
        <w:rPr>
          <w:rFonts w:ascii="Arial" w:hAnsi="Arial" w:cs="Arial"/>
          <w:sz w:val="19"/>
          <w:szCs w:val="19"/>
          <w:lang w:val="fr-FR"/>
        </w:rPr>
        <w:t>des concertations régulières avec</w:t>
      </w:r>
      <w:r w:rsidR="008F3925" w:rsidRPr="009A1105">
        <w:rPr>
          <w:rFonts w:ascii="Arial" w:hAnsi="Arial" w:cs="Arial"/>
          <w:sz w:val="19"/>
          <w:szCs w:val="19"/>
          <w:lang w:val="fr-FR"/>
        </w:rPr>
        <w:t xml:space="preserve"> les parlements et</w:t>
      </w:r>
      <w:r w:rsidRPr="009A1105">
        <w:rPr>
          <w:rFonts w:ascii="Arial" w:hAnsi="Arial" w:cs="Arial"/>
          <w:sz w:val="19"/>
          <w:szCs w:val="19"/>
          <w:lang w:val="fr-FR"/>
        </w:rPr>
        <w:t xml:space="preserve"> la société civile, sur bases de textes de négociations précis partagés dans un calendrier adéquat et des études d'impacts précises de chaque mesure pour alimenter utilement les positions belges avant chaque réunion du Conseil.</w:t>
      </w:r>
    </w:p>
    <w:p w:rsidR="006E4F9E" w:rsidRDefault="006E4F9E" w:rsidP="00C5089E">
      <w:pPr>
        <w:spacing w:line="255" w:lineRule="atLeast"/>
        <w:rPr>
          <w:rFonts w:ascii="Arial" w:hAnsi="Arial" w:cs="Arial"/>
          <w:b/>
          <w:sz w:val="19"/>
          <w:szCs w:val="19"/>
          <w:lang w:val="fr-FR"/>
        </w:rPr>
      </w:pPr>
    </w:p>
    <w:p w:rsidR="00C5089E" w:rsidRPr="009A1105" w:rsidRDefault="00C5089E" w:rsidP="00C5089E">
      <w:pPr>
        <w:spacing w:line="255" w:lineRule="atLeast"/>
        <w:rPr>
          <w:rFonts w:ascii="Arial" w:hAnsi="Arial" w:cs="Arial"/>
          <w:sz w:val="19"/>
          <w:szCs w:val="19"/>
          <w:lang w:val="fr-FR"/>
        </w:rPr>
      </w:pPr>
      <w:r w:rsidRPr="006E4F9E">
        <w:rPr>
          <w:rFonts w:ascii="Arial" w:hAnsi="Arial" w:cs="Arial"/>
          <w:b/>
          <w:sz w:val="19"/>
          <w:szCs w:val="19"/>
          <w:lang w:val="fr-FR"/>
        </w:rPr>
        <w:t>3-</w:t>
      </w:r>
      <w:r w:rsidRPr="009A1105">
        <w:rPr>
          <w:rFonts w:ascii="Arial" w:hAnsi="Arial" w:cs="Arial"/>
          <w:sz w:val="19"/>
          <w:szCs w:val="19"/>
          <w:lang w:val="fr-FR"/>
        </w:rPr>
        <w:t xml:space="preserve"> </w:t>
      </w:r>
      <w:r w:rsidRPr="009A1105">
        <w:rPr>
          <w:rStyle w:val="b"/>
          <w:rFonts w:ascii="Arial" w:hAnsi="Arial" w:cs="Arial"/>
          <w:b/>
          <w:bCs/>
          <w:sz w:val="19"/>
          <w:szCs w:val="19"/>
          <w:u w:val="single"/>
          <w:lang w:val="fr-FR"/>
        </w:rPr>
        <w:t>Un premier geste politique clair : Non au CETA</w:t>
      </w:r>
      <w:r w:rsidRPr="009A1105">
        <w:rPr>
          <w:rFonts w:ascii="Arial" w:hAnsi="Arial" w:cs="Arial"/>
          <w:sz w:val="19"/>
          <w:szCs w:val="19"/>
          <w:lang w:val="fr-FR"/>
        </w:rPr>
        <w:t>. Puisque ce texte de 1.600 pa</w:t>
      </w:r>
      <w:r w:rsidR="009D64B0" w:rsidRPr="009A1105">
        <w:rPr>
          <w:rFonts w:ascii="Arial" w:hAnsi="Arial" w:cs="Arial"/>
          <w:sz w:val="19"/>
          <w:szCs w:val="19"/>
          <w:lang w:val="fr-FR"/>
        </w:rPr>
        <w:t>ges, présenté comme à prendre ou</w:t>
      </w:r>
      <w:r w:rsidRPr="009A1105">
        <w:rPr>
          <w:rFonts w:ascii="Arial" w:hAnsi="Arial" w:cs="Arial"/>
          <w:sz w:val="19"/>
          <w:szCs w:val="19"/>
          <w:lang w:val="fr-FR"/>
        </w:rPr>
        <w:t xml:space="preserve"> à l</w:t>
      </w:r>
      <w:r w:rsidRPr="009A1105">
        <w:rPr>
          <w:rStyle w:val="author-g-le0dpvp2xwxurhkr"/>
          <w:rFonts w:ascii="Arial" w:hAnsi="Arial" w:cs="Arial"/>
          <w:sz w:val="19"/>
          <w:szCs w:val="19"/>
          <w:lang w:val="fr-FR"/>
        </w:rPr>
        <w:t>a</w:t>
      </w:r>
      <w:r w:rsidRPr="009A1105">
        <w:rPr>
          <w:rFonts w:ascii="Arial" w:hAnsi="Arial" w:cs="Arial"/>
          <w:sz w:val="19"/>
          <w:szCs w:val="19"/>
          <w:lang w:val="fr-FR"/>
        </w:rPr>
        <w:t xml:space="preserve">isser, ne respecte pas les balises minimales posées pour le TTIP, et </w:t>
      </w:r>
      <w:r w:rsidR="003F5B75" w:rsidRPr="009A1105">
        <w:rPr>
          <w:rFonts w:ascii="Arial" w:hAnsi="Arial" w:cs="Arial"/>
          <w:sz w:val="19"/>
          <w:szCs w:val="19"/>
          <w:lang w:val="fr-FR"/>
        </w:rPr>
        <w:t>présente donc une mena</w:t>
      </w:r>
      <w:r w:rsidR="009D64B0" w:rsidRPr="009A1105">
        <w:rPr>
          <w:rFonts w:ascii="Arial" w:hAnsi="Arial" w:cs="Arial"/>
          <w:sz w:val="19"/>
          <w:szCs w:val="19"/>
          <w:lang w:val="fr-FR"/>
        </w:rPr>
        <w:t>ce inacceptable pour nos droits</w:t>
      </w:r>
      <w:r w:rsidRPr="009A1105">
        <w:rPr>
          <w:rFonts w:ascii="Arial" w:hAnsi="Arial" w:cs="Arial"/>
          <w:sz w:val="19"/>
          <w:szCs w:val="19"/>
          <w:lang w:val="fr-FR"/>
        </w:rPr>
        <w:t xml:space="preserve"> et notre démocratie, nous appelons tous les responsables politiques belges à refuser la signature et la ratification dans sa version actuelle de l'autre traité transatlantique (UE-Canada, "CETA"), qui sera présenté aux gouvernements (y compris ré</w:t>
      </w:r>
      <w:r w:rsidR="009D64B0" w:rsidRPr="009A1105">
        <w:rPr>
          <w:rFonts w:ascii="Arial" w:hAnsi="Arial" w:cs="Arial"/>
          <w:sz w:val="19"/>
          <w:szCs w:val="19"/>
          <w:lang w:val="fr-FR"/>
        </w:rPr>
        <w:t>gionaux et communautaires) pour</w:t>
      </w:r>
      <w:r w:rsidRPr="009A1105">
        <w:rPr>
          <w:rFonts w:ascii="Arial" w:hAnsi="Arial" w:cs="Arial"/>
          <w:sz w:val="19"/>
          <w:szCs w:val="19"/>
          <w:lang w:val="fr-FR"/>
        </w:rPr>
        <w:t xml:space="preserve"> signature puis </w:t>
      </w:r>
      <w:r w:rsidR="009D64B0" w:rsidRPr="009A1105">
        <w:rPr>
          <w:rFonts w:ascii="Arial" w:hAnsi="Arial" w:cs="Arial"/>
          <w:sz w:val="19"/>
          <w:szCs w:val="19"/>
          <w:lang w:val="fr-FR"/>
        </w:rPr>
        <w:t>au parlement européen pour ratification</w:t>
      </w:r>
      <w:r w:rsidR="008F3925" w:rsidRPr="009A1105">
        <w:rPr>
          <w:rFonts w:ascii="Arial" w:hAnsi="Arial" w:cs="Arial"/>
          <w:sz w:val="19"/>
          <w:szCs w:val="19"/>
          <w:lang w:val="fr-FR"/>
        </w:rPr>
        <w:t xml:space="preserve"> </w:t>
      </w:r>
      <w:r w:rsidRPr="009A1105">
        <w:rPr>
          <w:rFonts w:ascii="Arial" w:hAnsi="Arial" w:cs="Arial"/>
          <w:sz w:val="19"/>
          <w:szCs w:val="19"/>
          <w:lang w:val="fr-FR"/>
        </w:rPr>
        <w:t>bien avant le TTIP, peut-être</w:t>
      </w:r>
      <w:r w:rsidR="009D64B0" w:rsidRPr="009A1105">
        <w:rPr>
          <w:rFonts w:ascii="Arial" w:hAnsi="Arial" w:cs="Arial"/>
          <w:sz w:val="19"/>
          <w:szCs w:val="19"/>
          <w:lang w:val="fr-FR"/>
        </w:rPr>
        <w:t xml:space="preserve"> déjà dès</w:t>
      </w:r>
      <w:r w:rsidRPr="009A1105">
        <w:rPr>
          <w:rFonts w:ascii="Arial" w:hAnsi="Arial" w:cs="Arial"/>
          <w:sz w:val="19"/>
          <w:szCs w:val="19"/>
          <w:lang w:val="fr-FR"/>
        </w:rPr>
        <w:t xml:space="preserve"> fin 2015.</w:t>
      </w:r>
      <w:r w:rsidR="008F3925" w:rsidRPr="009A1105">
        <w:rPr>
          <w:rFonts w:ascii="Arial" w:hAnsi="Arial" w:cs="Arial"/>
          <w:sz w:val="19"/>
          <w:szCs w:val="19"/>
          <w:lang w:val="fr-FR"/>
        </w:rPr>
        <w:t xml:space="preserve">Nous demandons que </w:t>
      </w:r>
      <w:r w:rsidR="00772605" w:rsidRPr="009A1105">
        <w:rPr>
          <w:rFonts w:ascii="Arial" w:hAnsi="Arial" w:cs="Arial"/>
          <w:sz w:val="19"/>
          <w:szCs w:val="19"/>
          <w:lang w:val="fr-FR"/>
        </w:rPr>
        <w:t>le CETA doive</w:t>
      </w:r>
      <w:r w:rsidR="008F3925" w:rsidRPr="009A1105">
        <w:rPr>
          <w:rFonts w:ascii="Arial" w:hAnsi="Arial" w:cs="Arial"/>
          <w:sz w:val="19"/>
          <w:szCs w:val="19"/>
          <w:lang w:val="fr-FR"/>
        </w:rPr>
        <w:t xml:space="preserve"> aussi être prés</w:t>
      </w:r>
      <w:r w:rsidR="0038795F" w:rsidRPr="009A1105">
        <w:rPr>
          <w:rFonts w:ascii="Arial" w:hAnsi="Arial" w:cs="Arial"/>
          <w:sz w:val="19"/>
          <w:szCs w:val="19"/>
          <w:lang w:val="fr-FR"/>
        </w:rPr>
        <w:t>enté au</w:t>
      </w:r>
      <w:r w:rsidR="00772605" w:rsidRPr="009A1105">
        <w:rPr>
          <w:rFonts w:ascii="Arial" w:hAnsi="Arial" w:cs="Arial"/>
          <w:sz w:val="19"/>
          <w:szCs w:val="19"/>
          <w:lang w:val="fr-FR"/>
        </w:rPr>
        <w:t xml:space="preserve">x </w:t>
      </w:r>
      <w:r w:rsidR="0038795F" w:rsidRPr="009A1105">
        <w:rPr>
          <w:rFonts w:ascii="Arial" w:hAnsi="Arial" w:cs="Arial"/>
          <w:sz w:val="19"/>
          <w:szCs w:val="19"/>
          <w:lang w:val="fr-FR"/>
        </w:rPr>
        <w:t>parlements des états-me</w:t>
      </w:r>
      <w:r w:rsidR="008F3925" w:rsidRPr="009A1105">
        <w:rPr>
          <w:rFonts w:ascii="Arial" w:hAnsi="Arial" w:cs="Arial"/>
          <w:sz w:val="19"/>
          <w:szCs w:val="19"/>
          <w:lang w:val="fr-FR"/>
        </w:rPr>
        <w:t>mbres</w:t>
      </w:r>
      <w:r w:rsidR="0038795F" w:rsidRPr="009A1105">
        <w:rPr>
          <w:rFonts w:ascii="Arial" w:hAnsi="Arial" w:cs="Arial"/>
          <w:sz w:val="19"/>
          <w:szCs w:val="19"/>
          <w:lang w:val="fr-FR"/>
        </w:rPr>
        <w:t xml:space="preserve"> et qu’une mise en œuv</w:t>
      </w:r>
      <w:r w:rsidR="00772605" w:rsidRPr="009A1105">
        <w:rPr>
          <w:rFonts w:ascii="Arial" w:hAnsi="Arial" w:cs="Arial"/>
          <w:sz w:val="19"/>
          <w:szCs w:val="19"/>
          <w:lang w:val="fr-FR"/>
        </w:rPr>
        <w:t>re provisoire ne soit pas permise</w:t>
      </w:r>
      <w:r w:rsidR="0038795F" w:rsidRPr="009A1105">
        <w:rPr>
          <w:rFonts w:ascii="Arial" w:hAnsi="Arial" w:cs="Arial"/>
          <w:sz w:val="19"/>
          <w:szCs w:val="19"/>
          <w:lang w:val="fr-FR"/>
        </w:rPr>
        <w:t>.</w:t>
      </w:r>
    </w:p>
    <w:sectPr w:rsidR="00C5089E" w:rsidRPr="009A1105" w:rsidSect="006E521A">
      <w:pgSz w:w="11906" w:h="16838" w:code="9"/>
      <w:pgMar w:top="709" w:right="1021" w:bottom="567" w:left="964" w:header="680"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32C9" w:rsidRDefault="004A32C9" w:rsidP="00285B30">
      <w:r>
        <w:separator/>
      </w:r>
    </w:p>
  </w:endnote>
  <w:endnote w:type="continuationSeparator" w:id="0">
    <w:p w:rsidR="004A32C9" w:rsidRDefault="004A32C9" w:rsidP="00285B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32C9" w:rsidRDefault="004A32C9" w:rsidP="00285B30">
      <w:r>
        <w:separator/>
      </w:r>
    </w:p>
  </w:footnote>
  <w:footnote w:type="continuationSeparator" w:id="0">
    <w:p w:rsidR="004A32C9" w:rsidRDefault="004A32C9" w:rsidP="00285B30">
      <w:r>
        <w:continuationSeparator/>
      </w:r>
    </w:p>
  </w:footnote>
  <w:footnote w:id="1">
    <w:p w:rsidR="009D7E6A" w:rsidRPr="006E4F9E" w:rsidRDefault="009D7E6A">
      <w:pPr>
        <w:pStyle w:val="Notedebasdepage"/>
        <w:rPr>
          <w:lang w:val="fr-BE"/>
        </w:rPr>
      </w:pPr>
      <w:r>
        <w:rPr>
          <w:rStyle w:val="Appelnotedebasdep"/>
        </w:rPr>
        <w:footnoteRef/>
      </w:r>
      <w:r>
        <w:t xml:space="preserve"> </w:t>
      </w:r>
      <w:hyperlink r:id="rId1" w:history="1">
        <w:r w:rsidRPr="009A1105">
          <w:rPr>
            <w:rStyle w:val="Lienhypertexte"/>
            <w:rFonts w:ascii="Arial" w:hAnsi="Arial" w:cs="Arial"/>
            <w:sz w:val="19"/>
            <w:szCs w:val="19"/>
            <w:lang w:val="fr-FR"/>
          </w:rPr>
          <w:t>http://ase.tufts.edu/gdae/Pubs/wp/14-03CapaldoTTIP.pdf</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7F1E71"/>
    <w:multiLevelType w:val="multilevel"/>
    <w:tmpl w:val="0ABE7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B7877E6"/>
    <w:multiLevelType w:val="multilevel"/>
    <w:tmpl w:val="084A3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0395577"/>
    <w:multiLevelType w:val="multilevel"/>
    <w:tmpl w:val="EB8E2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50ED4F6A"/>
    <w:multiLevelType w:val="multilevel"/>
    <w:tmpl w:val="AEF6AA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5B407BA5"/>
    <w:multiLevelType w:val="multilevel"/>
    <w:tmpl w:val="63EA7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5C056F53"/>
    <w:multiLevelType w:val="multilevel"/>
    <w:tmpl w:val="1F9C2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66924419"/>
    <w:multiLevelType w:val="multilevel"/>
    <w:tmpl w:val="775A5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6E4E7700"/>
    <w:multiLevelType w:val="hybridMultilevel"/>
    <w:tmpl w:val="F45AE2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nsid w:val="70DF6D8D"/>
    <w:multiLevelType w:val="multilevel"/>
    <w:tmpl w:val="25A69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74DD0495"/>
    <w:multiLevelType w:val="multilevel"/>
    <w:tmpl w:val="EC76E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7C1C10DF"/>
    <w:multiLevelType w:val="multilevel"/>
    <w:tmpl w:val="EF0AE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6"/>
  </w:num>
  <w:num w:numId="3">
    <w:abstractNumId w:val="5"/>
  </w:num>
  <w:num w:numId="4">
    <w:abstractNumId w:val="4"/>
  </w:num>
  <w:num w:numId="5">
    <w:abstractNumId w:val="0"/>
  </w:num>
  <w:num w:numId="6">
    <w:abstractNumId w:val="8"/>
  </w:num>
  <w:num w:numId="7">
    <w:abstractNumId w:val="10"/>
  </w:num>
  <w:num w:numId="8">
    <w:abstractNumId w:val="9"/>
  </w:num>
  <w:num w:numId="9">
    <w:abstractNumId w:val="1"/>
  </w:num>
  <w:num w:numId="10">
    <w:abstractNumId w:val="3"/>
  </w:num>
  <w:num w:numId="11">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hel Cermak">
    <w15:presenceInfo w15:providerId="AD" w15:userId="S-1-5-21-3786038479-1708707225-1016161215-13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089E"/>
    <w:rsid w:val="000232DF"/>
    <w:rsid w:val="0003677F"/>
    <w:rsid w:val="0005094F"/>
    <w:rsid w:val="000835B6"/>
    <w:rsid w:val="000D3D28"/>
    <w:rsid w:val="00111DB3"/>
    <w:rsid w:val="0012265E"/>
    <w:rsid w:val="00124B5E"/>
    <w:rsid w:val="00167475"/>
    <w:rsid w:val="00196FB5"/>
    <w:rsid w:val="001A10EA"/>
    <w:rsid w:val="001A2963"/>
    <w:rsid w:val="001D295D"/>
    <w:rsid w:val="0026359B"/>
    <w:rsid w:val="00285B30"/>
    <w:rsid w:val="002E299F"/>
    <w:rsid w:val="0036434C"/>
    <w:rsid w:val="0038795F"/>
    <w:rsid w:val="0039204C"/>
    <w:rsid w:val="003E1BA0"/>
    <w:rsid w:val="003F4814"/>
    <w:rsid w:val="003F5B75"/>
    <w:rsid w:val="004979D8"/>
    <w:rsid w:val="004A32C9"/>
    <w:rsid w:val="004C4C36"/>
    <w:rsid w:val="00533FAD"/>
    <w:rsid w:val="00552999"/>
    <w:rsid w:val="00555A1F"/>
    <w:rsid w:val="005738B0"/>
    <w:rsid w:val="005B43C7"/>
    <w:rsid w:val="005C515E"/>
    <w:rsid w:val="005E68E4"/>
    <w:rsid w:val="005F0424"/>
    <w:rsid w:val="00616C0D"/>
    <w:rsid w:val="00630F6C"/>
    <w:rsid w:val="00651813"/>
    <w:rsid w:val="00691BB8"/>
    <w:rsid w:val="006E4F9E"/>
    <w:rsid w:val="006E521A"/>
    <w:rsid w:val="006F486E"/>
    <w:rsid w:val="007134C4"/>
    <w:rsid w:val="0072333C"/>
    <w:rsid w:val="00772605"/>
    <w:rsid w:val="00785EB7"/>
    <w:rsid w:val="008861CE"/>
    <w:rsid w:val="008A2404"/>
    <w:rsid w:val="008B3D87"/>
    <w:rsid w:val="008F3925"/>
    <w:rsid w:val="00905664"/>
    <w:rsid w:val="009369F5"/>
    <w:rsid w:val="009A1105"/>
    <w:rsid w:val="009A5D5B"/>
    <w:rsid w:val="009D1D4D"/>
    <w:rsid w:val="009D64B0"/>
    <w:rsid w:val="009D7E6A"/>
    <w:rsid w:val="009F6E2C"/>
    <w:rsid w:val="00AB078F"/>
    <w:rsid w:val="00AB41C3"/>
    <w:rsid w:val="00AF0353"/>
    <w:rsid w:val="00B0746A"/>
    <w:rsid w:val="00B108C9"/>
    <w:rsid w:val="00B37247"/>
    <w:rsid w:val="00B43DCD"/>
    <w:rsid w:val="00B60567"/>
    <w:rsid w:val="00B96E1E"/>
    <w:rsid w:val="00BE0E78"/>
    <w:rsid w:val="00C24C41"/>
    <w:rsid w:val="00C5089E"/>
    <w:rsid w:val="00C91563"/>
    <w:rsid w:val="00D23CC9"/>
    <w:rsid w:val="00D7554A"/>
    <w:rsid w:val="00D80136"/>
    <w:rsid w:val="00E405D8"/>
    <w:rsid w:val="00E829B4"/>
    <w:rsid w:val="00E858E0"/>
    <w:rsid w:val="00E92DBC"/>
    <w:rsid w:val="00EE5754"/>
    <w:rsid w:val="00EE5F34"/>
    <w:rsid w:val="00EF0011"/>
    <w:rsid w:val="00EF6EB9"/>
    <w:rsid w:val="00F06296"/>
    <w:rsid w:val="00F32A47"/>
    <w:rsid w:val="00F6720F"/>
    <w:rsid w:val="00F86125"/>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BE" w:eastAsia="nl-B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nl-NL" w:eastAsia="nl-NL"/>
    </w:rPr>
  </w:style>
  <w:style w:type="paragraph" w:styleId="Titre1">
    <w:name w:val="heading 1"/>
    <w:basedOn w:val="Normal"/>
    <w:next w:val="Normal"/>
    <w:link w:val="Titre1Car"/>
    <w:qFormat/>
    <w:rsid w:val="00BE0E7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author-g-bmsh6e7h2v8d1tqt">
    <w:name w:val="author-g-bmsh6e7h2v8d1tqt"/>
    <w:basedOn w:val="Policepardfaut"/>
    <w:rsid w:val="00C5089E"/>
  </w:style>
  <w:style w:type="character" w:customStyle="1" w:styleId="author-g-oor7mrf9lestxv5g">
    <w:name w:val="author-g-oor7mrf9lestxv5g"/>
    <w:basedOn w:val="Policepardfaut"/>
    <w:rsid w:val="00C5089E"/>
  </w:style>
  <w:style w:type="character" w:customStyle="1" w:styleId="b">
    <w:name w:val="b"/>
    <w:basedOn w:val="Policepardfaut"/>
    <w:rsid w:val="00C5089E"/>
  </w:style>
  <w:style w:type="character" w:customStyle="1" w:styleId="author-g-a0l0whn2g8bx4atr">
    <w:name w:val="author-g-a0l0whn2g8bx4atr"/>
    <w:basedOn w:val="Policepardfaut"/>
    <w:rsid w:val="00C5089E"/>
  </w:style>
  <w:style w:type="character" w:customStyle="1" w:styleId="author-g-hm2k6urjq5ibnejc">
    <w:name w:val="author-g-hm2k6urjq5ibnejc"/>
    <w:basedOn w:val="Policepardfaut"/>
    <w:rsid w:val="00C5089E"/>
  </w:style>
  <w:style w:type="character" w:customStyle="1" w:styleId="i">
    <w:name w:val="i"/>
    <w:basedOn w:val="Policepardfaut"/>
    <w:rsid w:val="00C5089E"/>
  </w:style>
  <w:style w:type="character" w:styleId="Lienhypertexte">
    <w:name w:val="Hyperlink"/>
    <w:basedOn w:val="Policepardfaut"/>
    <w:uiPriority w:val="99"/>
    <w:unhideWhenUsed/>
    <w:rsid w:val="00C5089E"/>
    <w:rPr>
      <w:color w:val="0000FF"/>
      <w:u w:val="single"/>
    </w:rPr>
  </w:style>
  <w:style w:type="character" w:customStyle="1" w:styleId="author-g-o96yvfps0ip2yyls">
    <w:name w:val="author-g-o96yvfps0ip2yyls"/>
    <w:basedOn w:val="Policepardfaut"/>
    <w:rsid w:val="00C5089E"/>
  </w:style>
  <w:style w:type="character" w:customStyle="1" w:styleId="author-g-le0dpvp2xwxurhkr">
    <w:name w:val="author-g-le0dpvp2xwxurhkr"/>
    <w:basedOn w:val="Policepardfaut"/>
    <w:rsid w:val="00C5089E"/>
  </w:style>
  <w:style w:type="character" w:customStyle="1" w:styleId="author-g-eyandz122z54qq1os7s9">
    <w:name w:val="author-g-eyandz122z54qq1os7s9"/>
    <w:basedOn w:val="Policepardfaut"/>
    <w:rsid w:val="00C5089E"/>
  </w:style>
  <w:style w:type="character" w:customStyle="1" w:styleId="author-p-104400">
    <w:name w:val="author-p-104400"/>
    <w:basedOn w:val="Policepardfaut"/>
    <w:rsid w:val="00C5089E"/>
  </w:style>
  <w:style w:type="paragraph" w:styleId="Textedebulles">
    <w:name w:val="Balloon Text"/>
    <w:basedOn w:val="Normal"/>
    <w:link w:val="TextedebullesCar"/>
    <w:rsid w:val="0005094F"/>
    <w:rPr>
      <w:rFonts w:ascii="Tahoma" w:hAnsi="Tahoma" w:cs="Tahoma"/>
      <w:sz w:val="16"/>
      <w:szCs w:val="16"/>
    </w:rPr>
  </w:style>
  <w:style w:type="character" w:customStyle="1" w:styleId="TextedebullesCar">
    <w:name w:val="Texte de bulles Car"/>
    <w:basedOn w:val="Policepardfaut"/>
    <w:link w:val="Textedebulles"/>
    <w:rsid w:val="0005094F"/>
    <w:rPr>
      <w:rFonts w:ascii="Tahoma" w:hAnsi="Tahoma" w:cs="Tahoma"/>
      <w:sz w:val="16"/>
      <w:szCs w:val="16"/>
      <w:lang w:val="nl-NL" w:eastAsia="nl-NL"/>
    </w:rPr>
  </w:style>
  <w:style w:type="paragraph" w:styleId="Notedefin">
    <w:name w:val="endnote text"/>
    <w:basedOn w:val="Normal"/>
    <w:link w:val="NotedefinCar"/>
    <w:rsid w:val="00285B30"/>
    <w:rPr>
      <w:sz w:val="20"/>
      <w:szCs w:val="20"/>
    </w:rPr>
  </w:style>
  <w:style w:type="character" w:customStyle="1" w:styleId="NotedefinCar">
    <w:name w:val="Note de fin Car"/>
    <w:basedOn w:val="Policepardfaut"/>
    <w:link w:val="Notedefin"/>
    <w:rsid w:val="00285B30"/>
    <w:rPr>
      <w:lang w:val="nl-NL" w:eastAsia="nl-NL"/>
    </w:rPr>
  </w:style>
  <w:style w:type="character" w:styleId="Appeldenotedefin">
    <w:name w:val="endnote reference"/>
    <w:basedOn w:val="Policepardfaut"/>
    <w:rsid w:val="00285B30"/>
    <w:rPr>
      <w:vertAlign w:val="superscript"/>
    </w:rPr>
  </w:style>
  <w:style w:type="paragraph" w:styleId="Paragraphedeliste">
    <w:name w:val="List Paragraph"/>
    <w:basedOn w:val="Normal"/>
    <w:uiPriority w:val="34"/>
    <w:qFormat/>
    <w:rsid w:val="00196FB5"/>
    <w:pPr>
      <w:ind w:left="720"/>
      <w:contextualSpacing/>
    </w:pPr>
  </w:style>
  <w:style w:type="character" w:styleId="Lienhypertextesuivivisit">
    <w:name w:val="FollowedHyperlink"/>
    <w:basedOn w:val="Policepardfaut"/>
    <w:rsid w:val="00124B5E"/>
    <w:rPr>
      <w:color w:val="800080" w:themeColor="followedHyperlink"/>
      <w:u w:val="single"/>
    </w:rPr>
  </w:style>
  <w:style w:type="paragraph" w:styleId="Notedebasdepage">
    <w:name w:val="footnote text"/>
    <w:basedOn w:val="Normal"/>
    <w:link w:val="NotedebasdepageCar"/>
    <w:semiHidden/>
    <w:unhideWhenUsed/>
    <w:rsid w:val="009D7E6A"/>
    <w:rPr>
      <w:sz w:val="20"/>
      <w:szCs w:val="20"/>
    </w:rPr>
  </w:style>
  <w:style w:type="character" w:customStyle="1" w:styleId="NotedebasdepageCar">
    <w:name w:val="Note de bas de page Car"/>
    <w:basedOn w:val="Policepardfaut"/>
    <w:link w:val="Notedebasdepage"/>
    <w:semiHidden/>
    <w:rsid w:val="009D7E6A"/>
    <w:rPr>
      <w:lang w:val="nl-NL" w:eastAsia="nl-NL"/>
    </w:rPr>
  </w:style>
  <w:style w:type="character" w:styleId="Appelnotedebasdep">
    <w:name w:val="footnote reference"/>
    <w:basedOn w:val="Policepardfaut"/>
    <w:semiHidden/>
    <w:unhideWhenUsed/>
    <w:rsid w:val="009D7E6A"/>
    <w:rPr>
      <w:vertAlign w:val="superscript"/>
    </w:rPr>
  </w:style>
  <w:style w:type="character" w:customStyle="1" w:styleId="Titre1Car">
    <w:name w:val="Titre 1 Car"/>
    <w:basedOn w:val="Policepardfaut"/>
    <w:link w:val="Titre1"/>
    <w:rsid w:val="00BE0E78"/>
    <w:rPr>
      <w:rFonts w:asciiTheme="majorHAnsi" w:eastAsiaTheme="majorEastAsia" w:hAnsiTheme="majorHAnsi" w:cstheme="majorBidi"/>
      <w:b/>
      <w:bCs/>
      <w:color w:val="365F91" w:themeColor="accent1" w:themeShade="BF"/>
      <w:sz w:val="28"/>
      <w:szCs w:val="28"/>
      <w:lang w:val="nl-NL" w:eastAsia="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BE" w:eastAsia="nl-B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nl-NL" w:eastAsia="nl-NL"/>
    </w:rPr>
  </w:style>
  <w:style w:type="paragraph" w:styleId="Titre1">
    <w:name w:val="heading 1"/>
    <w:basedOn w:val="Normal"/>
    <w:next w:val="Normal"/>
    <w:link w:val="Titre1Car"/>
    <w:qFormat/>
    <w:rsid w:val="00BE0E7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author-g-bmsh6e7h2v8d1tqt">
    <w:name w:val="author-g-bmsh6e7h2v8d1tqt"/>
    <w:basedOn w:val="Policepardfaut"/>
    <w:rsid w:val="00C5089E"/>
  </w:style>
  <w:style w:type="character" w:customStyle="1" w:styleId="author-g-oor7mrf9lestxv5g">
    <w:name w:val="author-g-oor7mrf9lestxv5g"/>
    <w:basedOn w:val="Policepardfaut"/>
    <w:rsid w:val="00C5089E"/>
  </w:style>
  <w:style w:type="character" w:customStyle="1" w:styleId="b">
    <w:name w:val="b"/>
    <w:basedOn w:val="Policepardfaut"/>
    <w:rsid w:val="00C5089E"/>
  </w:style>
  <w:style w:type="character" w:customStyle="1" w:styleId="author-g-a0l0whn2g8bx4atr">
    <w:name w:val="author-g-a0l0whn2g8bx4atr"/>
    <w:basedOn w:val="Policepardfaut"/>
    <w:rsid w:val="00C5089E"/>
  </w:style>
  <w:style w:type="character" w:customStyle="1" w:styleId="author-g-hm2k6urjq5ibnejc">
    <w:name w:val="author-g-hm2k6urjq5ibnejc"/>
    <w:basedOn w:val="Policepardfaut"/>
    <w:rsid w:val="00C5089E"/>
  </w:style>
  <w:style w:type="character" w:customStyle="1" w:styleId="i">
    <w:name w:val="i"/>
    <w:basedOn w:val="Policepardfaut"/>
    <w:rsid w:val="00C5089E"/>
  </w:style>
  <w:style w:type="character" w:styleId="Lienhypertexte">
    <w:name w:val="Hyperlink"/>
    <w:basedOn w:val="Policepardfaut"/>
    <w:uiPriority w:val="99"/>
    <w:unhideWhenUsed/>
    <w:rsid w:val="00C5089E"/>
    <w:rPr>
      <w:color w:val="0000FF"/>
      <w:u w:val="single"/>
    </w:rPr>
  </w:style>
  <w:style w:type="character" w:customStyle="1" w:styleId="author-g-o96yvfps0ip2yyls">
    <w:name w:val="author-g-o96yvfps0ip2yyls"/>
    <w:basedOn w:val="Policepardfaut"/>
    <w:rsid w:val="00C5089E"/>
  </w:style>
  <w:style w:type="character" w:customStyle="1" w:styleId="author-g-le0dpvp2xwxurhkr">
    <w:name w:val="author-g-le0dpvp2xwxurhkr"/>
    <w:basedOn w:val="Policepardfaut"/>
    <w:rsid w:val="00C5089E"/>
  </w:style>
  <w:style w:type="character" w:customStyle="1" w:styleId="author-g-eyandz122z54qq1os7s9">
    <w:name w:val="author-g-eyandz122z54qq1os7s9"/>
    <w:basedOn w:val="Policepardfaut"/>
    <w:rsid w:val="00C5089E"/>
  </w:style>
  <w:style w:type="character" w:customStyle="1" w:styleId="author-p-104400">
    <w:name w:val="author-p-104400"/>
    <w:basedOn w:val="Policepardfaut"/>
    <w:rsid w:val="00C5089E"/>
  </w:style>
  <w:style w:type="paragraph" w:styleId="Textedebulles">
    <w:name w:val="Balloon Text"/>
    <w:basedOn w:val="Normal"/>
    <w:link w:val="TextedebullesCar"/>
    <w:rsid w:val="0005094F"/>
    <w:rPr>
      <w:rFonts w:ascii="Tahoma" w:hAnsi="Tahoma" w:cs="Tahoma"/>
      <w:sz w:val="16"/>
      <w:szCs w:val="16"/>
    </w:rPr>
  </w:style>
  <w:style w:type="character" w:customStyle="1" w:styleId="TextedebullesCar">
    <w:name w:val="Texte de bulles Car"/>
    <w:basedOn w:val="Policepardfaut"/>
    <w:link w:val="Textedebulles"/>
    <w:rsid w:val="0005094F"/>
    <w:rPr>
      <w:rFonts w:ascii="Tahoma" w:hAnsi="Tahoma" w:cs="Tahoma"/>
      <w:sz w:val="16"/>
      <w:szCs w:val="16"/>
      <w:lang w:val="nl-NL" w:eastAsia="nl-NL"/>
    </w:rPr>
  </w:style>
  <w:style w:type="paragraph" w:styleId="Notedefin">
    <w:name w:val="endnote text"/>
    <w:basedOn w:val="Normal"/>
    <w:link w:val="NotedefinCar"/>
    <w:rsid w:val="00285B30"/>
    <w:rPr>
      <w:sz w:val="20"/>
      <w:szCs w:val="20"/>
    </w:rPr>
  </w:style>
  <w:style w:type="character" w:customStyle="1" w:styleId="NotedefinCar">
    <w:name w:val="Note de fin Car"/>
    <w:basedOn w:val="Policepardfaut"/>
    <w:link w:val="Notedefin"/>
    <w:rsid w:val="00285B30"/>
    <w:rPr>
      <w:lang w:val="nl-NL" w:eastAsia="nl-NL"/>
    </w:rPr>
  </w:style>
  <w:style w:type="character" w:styleId="Appeldenotedefin">
    <w:name w:val="endnote reference"/>
    <w:basedOn w:val="Policepardfaut"/>
    <w:rsid w:val="00285B30"/>
    <w:rPr>
      <w:vertAlign w:val="superscript"/>
    </w:rPr>
  </w:style>
  <w:style w:type="paragraph" w:styleId="Paragraphedeliste">
    <w:name w:val="List Paragraph"/>
    <w:basedOn w:val="Normal"/>
    <w:uiPriority w:val="34"/>
    <w:qFormat/>
    <w:rsid w:val="00196FB5"/>
    <w:pPr>
      <w:ind w:left="720"/>
      <w:contextualSpacing/>
    </w:pPr>
  </w:style>
  <w:style w:type="character" w:styleId="Lienhypertextesuivivisit">
    <w:name w:val="FollowedHyperlink"/>
    <w:basedOn w:val="Policepardfaut"/>
    <w:rsid w:val="00124B5E"/>
    <w:rPr>
      <w:color w:val="800080" w:themeColor="followedHyperlink"/>
      <w:u w:val="single"/>
    </w:rPr>
  </w:style>
  <w:style w:type="paragraph" w:styleId="Notedebasdepage">
    <w:name w:val="footnote text"/>
    <w:basedOn w:val="Normal"/>
    <w:link w:val="NotedebasdepageCar"/>
    <w:semiHidden/>
    <w:unhideWhenUsed/>
    <w:rsid w:val="009D7E6A"/>
    <w:rPr>
      <w:sz w:val="20"/>
      <w:szCs w:val="20"/>
    </w:rPr>
  </w:style>
  <w:style w:type="character" w:customStyle="1" w:styleId="NotedebasdepageCar">
    <w:name w:val="Note de bas de page Car"/>
    <w:basedOn w:val="Policepardfaut"/>
    <w:link w:val="Notedebasdepage"/>
    <w:semiHidden/>
    <w:rsid w:val="009D7E6A"/>
    <w:rPr>
      <w:lang w:val="nl-NL" w:eastAsia="nl-NL"/>
    </w:rPr>
  </w:style>
  <w:style w:type="character" w:styleId="Appelnotedebasdep">
    <w:name w:val="footnote reference"/>
    <w:basedOn w:val="Policepardfaut"/>
    <w:semiHidden/>
    <w:unhideWhenUsed/>
    <w:rsid w:val="009D7E6A"/>
    <w:rPr>
      <w:vertAlign w:val="superscript"/>
    </w:rPr>
  </w:style>
  <w:style w:type="character" w:customStyle="1" w:styleId="Titre1Car">
    <w:name w:val="Titre 1 Car"/>
    <w:basedOn w:val="Policepardfaut"/>
    <w:link w:val="Titre1"/>
    <w:rsid w:val="00BE0E78"/>
    <w:rPr>
      <w:rFonts w:asciiTheme="majorHAnsi" w:eastAsiaTheme="majorEastAsia" w:hAnsiTheme="majorHAnsi" w:cstheme="majorBidi"/>
      <w:b/>
      <w:bCs/>
      <w:color w:val="365F91" w:themeColor="accent1" w:themeShade="BF"/>
      <w:sz w:val="28"/>
      <w:szCs w:val="28"/>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4581107">
      <w:bodyDiv w:val="1"/>
      <w:marLeft w:val="0"/>
      <w:marRight w:val="0"/>
      <w:marTop w:val="0"/>
      <w:marBottom w:val="0"/>
      <w:divBdr>
        <w:top w:val="none" w:sz="0" w:space="0" w:color="auto"/>
        <w:left w:val="none" w:sz="0" w:space="0" w:color="auto"/>
        <w:bottom w:val="none" w:sz="0" w:space="0" w:color="auto"/>
        <w:right w:val="none" w:sz="0" w:space="0" w:color="auto"/>
      </w:divBdr>
    </w:div>
    <w:div w:id="1543247527">
      <w:bodyDiv w:val="1"/>
      <w:marLeft w:val="0"/>
      <w:marRight w:val="0"/>
      <w:marTop w:val="0"/>
      <w:marBottom w:val="0"/>
      <w:divBdr>
        <w:top w:val="none" w:sz="0" w:space="0" w:color="auto"/>
        <w:left w:val="none" w:sz="0" w:space="0" w:color="auto"/>
        <w:bottom w:val="none" w:sz="0" w:space="0" w:color="auto"/>
        <w:right w:val="none" w:sz="0" w:space="0" w:color="auto"/>
      </w:divBdr>
    </w:div>
    <w:div w:id="1569337970">
      <w:bodyDiv w:val="1"/>
      <w:marLeft w:val="0"/>
      <w:marRight w:val="0"/>
      <w:marTop w:val="0"/>
      <w:marBottom w:val="0"/>
      <w:divBdr>
        <w:top w:val="none" w:sz="0" w:space="0" w:color="auto"/>
        <w:left w:val="none" w:sz="0" w:space="0" w:color="auto"/>
        <w:bottom w:val="none" w:sz="0" w:space="0" w:color="auto"/>
        <w:right w:val="none" w:sz="0" w:space="0" w:color="auto"/>
      </w:divBdr>
      <w:divsChild>
        <w:div w:id="1817868060">
          <w:marLeft w:val="0"/>
          <w:marRight w:val="0"/>
          <w:marTop w:val="0"/>
          <w:marBottom w:val="0"/>
          <w:divBdr>
            <w:top w:val="none" w:sz="0" w:space="0" w:color="auto"/>
            <w:left w:val="none" w:sz="0" w:space="0" w:color="auto"/>
            <w:bottom w:val="none" w:sz="0" w:space="0" w:color="auto"/>
            <w:right w:val="none" w:sz="0" w:space="0" w:color="auto"/>
          </w:divBdr>
        </w:div>
        <w:div w:id="560214754">
          <w:marLeft w:val="0"/>
          <w:marRight w:val="0"/>
          <w:marTop w:val="0"/>
          <w:marBottom w:val="0"/>
          <w:divBdr>
            <w:top w:val="none" w:sz="0" w:space="0" w:color="auto"/>
            <w:left w:val="none" w:sz="0" w:space="0" w:color="auto"/>
            <w:bottom w:val="none" w:sz="0" w:space="0" w:color="auto"/>
            <w:right w:val="none" w:sz="0" w:space="0" w:color="auto"/>
          </w:divBdr>
        </w:div>
        <w:div w:id="527262450">
          <w:marLeft w:val="0"/>
          <w:marRight w:val="0"/>
          <w:marTop w:val="0"/>
          <w:marBottom w:val="0"/>
          <w:divBdr>
            <w:top w:val="none" w:sz="0" w:space="0" w:color="auto"/>
            <w:left w:val="none" w:sz="0" w:space="0" w:color="auto"/>
            <w:bottom w:val="none" w:sz="0" w:space="0" w:color="auto"/>
            <w:right w:val="none" w:sz="0" w:space="0" w:color="auto"/>
          </w:divBdr>
        </w:div>
        <w:div w:id="177626292">
          <w:marLeft w:val="0"/>
          <w:marRight w:val="0"/>
          <w:marTop w:val="0"/>
          <w:marBottom w:val="0"/>
          <w:divBdr>
            <w:top w:val="none" w:sz="0" w:space="0" w:color="auto"/>
            <w:left w:val="none" w:sz="0" w:space="0" w:color="auto"/>
            <w:bottom w:val="none" w:sz="0" w:space="0" w:color="auto"/>
            <w:right w:val="none" w:sz="0" w:space="0" w:color="auto"/>
          </w:divBdr>
        </w:div>
        <w:div w:id="72508455">
          <w:marLeft w:val="0"/>
          <w:marRight w:val="0"/>
          <w:marTop w:val="0"/>
          <w:marBottom w:val="0"/>
          <w:divBdr>
            <w:top w:val="none" w:sz="0" w:space="0" w:color="auto"/>
            <w:left w:val="none" w:sz="0" w:space="0" w:color="auto"/>
            <w:bottom w:val="none" w:sz="0" w:space="0" w:color="auto"/>
            <w:right w:val="none" w:sz="0" w:space="0" w:color="auto"/>
          </w:divBdr>
        </w:div>
        <w:div w:id="1237011715">
          <w:marLeft w:val="0"/>
          <w:marRight w:val="0"/>
          <w:marTop w:val="0"/>
          <w:marBottom w:val="0"/>
          <w:divBdr>
            <w:top w:val="none" w:sz="0" w:space="0" w:color="auto"/>
            <w:left w:val="none" w:sz="0" w:space="0" w:color="auto"/>
            <w:bottom w:val="none" w:sz="0" w:space="0" w:color="auto"/>
            <w:right w:val="none" w:sz="0" w:space="0" w:color="auto"/>
          </w:divBdr>
        </w:div>
        <w:div w:id="2052921109">
          <w:marLeft w:val="0"/>
          <w:marRight w:val="0"/>
          <w:marTop w:val="0"/>
          <w:marBottom w:val="0"/>
          <w:divBdr>
            <w:top w:val="none" w:sz="0" w:space="0" w:color="auto"/>
            <w:left w:val="none" w:sz="0" w:space="0" w:color="auto"/>
            <w:bottom w:val="none" w:sz="0" w:space="0" w:color="auto"/>
            <w:right w:val="none" w:sz="0" w:space="0" w:color="auto"/>
          </w:divBdr>
        </w:div>
        <w:div w:id="527449811">
          <w:marLeft w:val="0"/>
          <w:marRight w:val="0"/>
          <w:marTop w:val="0"/>
          <w:marBottom w:val="0"/>
          <w:divBdr>
            <w:top w:val="none" w:sz="0" w:space="0" w:color="auto"/>
            <w:left w:val="none" w:sz="0" w:space="0" w:color="auto"/>
            <w:bottom w:val="none" w:sz="0" w:space="0" w:color="auto"/>
            <w:right w:val="none" w:sz="0" w:space="0" w:color="auto"/>
          </w:divBdr>
        </w:div>
        <w:div w:id="1147084878">
          <w:marLeft w:val="0"/>
          <w:marRight w:val="0"/>
          <w:marTop w:val="0"/>
          <w:marBottom w:val="0"/>
          <w:divBdr>
            <w:top w:val="none" w:sz="0" w:space="0" w:color="auto"/>
            <w:left w:val="none" w:sz="0" w:space="0" w:color="auto"/>
            <w:bottom w:val="none" w:sz="0" w:space="0" w:color="auto"/>
            <w:right w:val="none" w:sz="0" w:space="0" w:color="auto"/>
          </w:divBdr>
        </w:div>
        <w:div w:id="1714885761">
          <w:marLeft w:val="0"/>
          <w:marRight w:val="0"/>
          <w:marTop w:val="0"/>
          <w:marBottom w:val="0"/>
          <w:divBdr>
            <w:top w:val="none" w:sz="0" w:space="0" w:color="auto"/>
            <w:left w:val="none" w:sz="0" w:space="0" w:color="auto"/>
            <w:bottom w:val="none" w:sz="0" w:space="0" w:color="auto"/>
            <w:right w:val="none" w:sz="0" w:space="0" w:color="auto"/>
          </w:divBdr>
        </w:div>
        <w:div w:id="410737427">
          <w:marLeft w:val="0"/>
          <w:marRight w:val="0"/>
          <w:marTop w:val="0"/>
          <w:marBottom w:val="0"/>
          <w:divBdr>
            <w:top w:val="none" w:sz="0" w:space="0" w:color="auto"/>
            <w:left w:val="none" w:sz="0" w:space="0" w:color="auto"/>
            <w:bottom w:val="none" w:sz="0" w:space="0" w:color="auto"/>
            <w:right w:val="none" w:sz="0" w:space="0" w:color="auto"/>
          </w:divBdr>
        </w:div>
        <w:div w:id="299187823">
          <w:marLeft w:val="0"/>
          <w:marRight w:val="0"/>
          <w:marTop w:val="0"/>
          <w:marBottom w:val="0"/>
          <w:divBdr>
            <w:top w:val="none" w:sz="0" w:space="0" w:color="auto"/>
            <w:left w:val="none" w:sz="0" w:space="0" w:color="auto"/>
            <w:bottom w:val="none" w:sz="0" w:space="0" w:color="auto"/>
            <w:right w:val="none" w:sz="0" w:space="0" w:color="auto"/>
          </w:divBdr>
        </w:div>
        <w:div w:id="1002666641">
          <w:marLeft w:val="0"/>
          <w:marRight w:val="0"/>
          <w:marTop w:val="0"/>
          <w:marBottom w:val="0"/>
          <w:divBdr>
            <w:top w:val="none" w:sz="0" w:space="0" w:color="auto"/>
            <w:left w:val="none" w:sz="0" w:space="0" w:color="auto"/>
            <w:bottom w:val="none" w:sz="0" w:space="0" w:color="auto"/>
            <w:right w:val="none" w:sz="0" w:space="0" w:color="auto"/>
          </w:divBdr>
        </w:div>
        <w:div w:id="1195998021">
          <w:marLeft w:val="0"/>
          <w:marRight w:val="0"/>
          <w:marTop w:val="0"/>
          <w:marBottom w:val="0"/>
          <w:divBdr>
            <w:top w:val="none" w:sz="0" w:space="0" w:color="auto"/>
            <w:left w:val="none" w:sz="0" w:space="0" w:color="auto"/>
            <w:bottom w:val="none" w:sz="0" w:space="0" w:color="auto"/>
            <w:right w:val="none" w:sz="0" w:space="0" w:color="auto"/>
          </w:divBdr>
        </w:div>
        <w:div w:id="649480072">
          <w:marLeft w:val="0"/>
          <w:marRight w:val="0"/>
          <w:marTop w:val="0"/>
          <w:marBottom w:val="0"/>
          <w:divBdr>
            <w:top w:val="none" w:sz="0" w:space="0" w:color="auto"/>
            <w:left w:val="none" w:sz="0" w:space="0" w:color="auto"/>
            <w:bottom w:val="none" w:sz="0" w:space="0" w:color="auto"/>
            <w:right w:val="none" w:sz="0" w:space="0" w:color="auto"/>
          </w:divBdr>
        </w:div>
        <w:div w:id="1531529251">
          <w:marLeft w:val="0"/>
          <w:marRight w:val="0"/>
          <w:marTop w:val="0"/>
          <w:marBottom w:val="0"/>
          <w:divBdr>
            <w:top w:val="none" w:sz="0" w:space="0" w:color="auto"/>
            <w:left w:val="none" w:sz="0" w:space="0" w:color="auto"/>
            <w:bottom w:val="none" w:sz="0" w:space="0" w:color="auto"/>
            <w:right w:val="none" w:sz="0" w:space="0" w:color="auto"/>
          </w:divBdr>
        </w:div>
        <w:div w:id="374306700">
          <w:marLeft w:val="0"/>
          <w:marRight w:val="0"/>
          <w:marTop w:val="0"/>
          <w:marBottom w:val="0"/>
          <w:divBdr>
            <w:top w:val="none" w:sz="0" w:space="0" w:color="auto"/>
            <w:left w:val="none" w:sz="0" w:space="0" w:color="auto"/>
            <w:bottom w:val="none" w:sz="0" w:space="0" w:color="auto"/>
            <w:right w:val="none" w:sz="0" w:space="0" w:color="auto"/>
          </w:divBdr>
        </w:div>
        <w:div w:id="1439567100">
          <w:marLeft w:val="0"/>
          <w:marRight w:val="0"/>
          <w:marTop w:val="0"/>
          <w:marBottom w:val="0"/>
          <w:divBdr>
            <w:top w:val="none" w:sz="0" w:space="0" w:color="auto"/>
            <w:left w:val="none" w:sz="0" w:space="0" w:color="auto"/>
            <w:bottom w:val="none" w:sz="0" w:space="0" w:color="auto"/>
            <w:right w:val="none" w:sz="0" w:space="0" w:color="auto"/>
          </w:divBdr>
        </w:div>
        <w:div w:id="103965184">
          <w:marLeft w:val="0"/>
          <w:marRight w:val="0"/>
          <w:marTop w:val="0"/>
          <w:marBottom w:val="0"/>
          <w:divBdr>
            <w:top w:val="none" w:sz="0" w:space="0" w:color="auto"/>
            <w:left w:val="none" w:sz="0" w:space="0" w:color="auto"/>
            <w:bottom w:val="none" w:sz="0" w:space="0" w:color="auto"/>
            <w:right w:val="none" w:sz="0" w:space="0" w:color="auto"/>
          </w:divBdr>
        </w:div>
        <w:div w:id="1019046235">
          <w:marLeft w:val="0"/>
          <w:marRight w:val="0"/>
          <w:marTop w:val="0"/>
          <w:marBottom w:val="0"/>
          <w:divBdr>
            <w:top w:val="none" w:sz="0" w:space="0" w:color="auto"/>
            <w:left w:val="none" w:sz="0" w:space="0" w:color="auto"/>
            <w:bottom w:val="none" w:sz="0" w:space="0" w:color="auto"/>
            <w:right w:val="none" w:sz="0" w:space="0" w:color="auto"/>
          </w:divBdr>
        </w:div>
        <w:div w:id="1637299698">
          <w:marLeft w:val="0"/>
          <w:marRight w:val="0"/>
          <w:marTop w:val="0"/>
          <w:marBottom w:val="0"/>
          <w:divBdr>
            <w:top w:val="none" w:sz="0" w:space="0" w:color="auto"/>
            <w:left w:val="none" w:sz="0" w:space="0" w:color="auto"/>
            <w:bottom w:val="none" w:sz="0" w:space="0" w:color="auto"/>
            <w:right w:val="none" w:sz="0" w:space="0" w:color="auto"/>
          </w:divBdr>
        </w:div>
        <w:div w:id="715734533">
          <w:marLeft w:val="0"/>
          <w:marRight w:val="0"/>
          <w:marTop w:val="0"/>
          <w:marBottom w:val="0"/>
          <w:divBdr>
            <w:top w:val="none" w:sz="0" w:space="0" w:color="auto"/>
            <w:left w:val="none" w:sz="0" w:space="0" w:color="auto"/>
            <w:bottom w:val="none" w:sz="0" w:space="0" w:color="auto"/>
            <w:right w:val="none" w:sz="0" w:space="0" w:color="auto"/>
          </w:divBdr>
        </w:div>
        <w:div w:id="1610311945">
          <w:marLeft w:val="0"/>
          <w:marRight w:val="0"/>
          <w:marTop w:val="0"/>
          <w:marBottom w:val="0"/>
          <w:divBdr>
            <w:top w:val="none" w:sz="0" w:space="0" w:color="auto"/>
            <w:left w:val="none" w:sz="0" w:space="0" w:color="auto"/>
            <w:bottom w:val="none" w:sz="0" w:space="0" w:color="auto"/>
            <w:right w:val="none" w:sz="0" w:space="0" w:color="auto"/>
          </w:divBdr>
        </w:div>
        <w:div w:id="330333361">
          <w:marLeft w:val="0"/>
          <w:marRight w:val="0"/>
          <w:marTop w:val="0"/>
          <w:marBottom w:val="0"/>
          <w:divBdr>
            <w:top w:val="none" w:sz="0" w:space="0" w:color="auto"/>
            <w:left w:val="none" w:sz="0" w:space="0" w:color="auto"/>
            <w:bottom w:val="none" w:sz="0" w:space="0" w:color="auto"/>
            <w:right w:val="none" w:sz="0" w:space="0" w:color="auto"/>
          </w:divBdr>
        </w:div>
        <w:div w:id="1112700776">
          <w:marLeft w:val="0"/>
          <w:marRight w:val="0"/>
          <w:marTop w:val="0"/>
          <w:marBottom w:val="0"/>
          <w:divBdr>
            <w:top w:val="none" w:sz="0" w:space="0" w:color="auto"/>
            <w:left w:val="none" w:sz="0" w:space="0" w:color="auto"/>
            <w:bottom w:val="none" w:sz="0" w:space="0" w:color="auto"/>
            <w:right w:val="none" w:sz="0" w:space="0" w:color="auto"/>
          </w:divBdr>
        </w:div>
        <w:div w:id="2043942457">
          <w:marLeft w:val="0"/>
          <w:marRight w:val="0"/>
          <w:marTop w:val="0"/>
          <w:marBottom w:val="0"/>
          <w:divBdr>
            <w:top w:val="none" w:sz="0" w:space="0" w:color="auto"/>
            <w:left w:val="none" w:sz="0" w:space="0" w:color="auto"/>
            <w:bottom w:val="none" w:sz="0" w:space="0" w:color="auto"/>
            <w:right w:val="none" w:sz="0" w:space="0" w:color="auto"/>
          </w:divBdr>
        </w:div>
        <w:div w:id="320472237">
          <w:marLeft w:val="0"/>
          <w:marRight w:val="0"/>
          <w:marTop w:val="0"/>
          <w:marBottom w:val="0"/>
          <w:divBdr>
            <w:top w:val="none" w:sz="0" w:space="0" w:color="auto"/>
            <w:left w:val="none" w:sz="0" w:space="0" w:color="auto"/>
            <w:bottom w:val="none" w:sz="0" w:space="0" w:color="auto"/>
            <w:right w:val="none" w:sz="0" w:space="0" w:color="auto"/>
          </w:divBdr>
        </w:div>
        <w:div w:id="1832478599">
          <w:marLeft w:val="0"/>
          <w:marRight w:val="0"/>
          <w:marTop w:val="0"/>
          <w:marBottom w:val="0"/>
          <w:divBdr>
            <w:top w:val="none" w:sz="0" w:space="0" w:color="auto"/>
            <w:left w:val="none" w:sz="0" w:space="0" w:color="auto"/>
            <w:bottom w:val="none" w:sz="0" w:space="0" w:color="auto"/>
            <w:right w:val="none" w:sz="0" w:space="0" w:color="auto"/>
          </w:divBdr>
        </w:div>
        <w:div w:id="1127814862">
          <w:marLeft w:val="0"/>
          <w:marRight w:val="0"/>
          <w:marTop w:val="0"/>
          <w:marBottom w:val="0"/>
          <w:divBdr>
            <w:top w:val="none" w:sz="0" w:space="0" w:color="auto"/>
            <w:left w:val="none" w:sz="0" w:space="0" w:color="auto"/>
            <w:bottom w:val="none" w:sz="0" w:space="0" w:color="auto"/>
            <w:right w:val="none" w:sz="0" w:space="0" w:color="auto"/>
          </w:divBdr>
        </w:div>
        <w:div w:id="103893153">
          <w:marLeft w:val="0"/>
          <w:marRight w:val="0"/>
          <w:marTop w:val="0"/>
          <w:marBottom w:val="0"/>
          <w:divBdr>
            <w:top w:val="none" w:sz="0" w:space="0" w:color="auto"/>
            <w:left w:val="none" w:sz="0" w:space="0" w:color="auto"/>
            <w:bottom w:val="none" w:sz="0" w:space="0" w:color="auto"/>
            <w:right w:val="none" w:sz="0" w:space="0" w:color="auto"/>
          </w:divBdr>
        </w:div>
        <w:div w:id="1589924061">
          <w:marLeft w:val="0"/>
          <w:marRight w:val="0"/>
          <w:marTop w:val="0"/>
          <w:marBottom w:val="0"/>
          <w:divBdr>
            <w:top w:val="none" w:sz="0" w:space="0" w:color="auto"/>
            <w:left w:val="none" w:sz="0" w:space="0" w:color="auto"/>
            <w:bottom w:val="none" w:sz="0" w:space="0" w:color="auto"/>
            <w:right w:val="none" w:sz="0" w:space="0" w:color="auto"/>
          </w:divBdr>
        </w:div>
        <w:div w:id="487940597">
          <w:marLeft w:val="0"/>
          <w:marRight w:val="0"/>
          <w:marTop w:val="0"/>
          <w:marBottom w:val="0"/>
          <w:divBdr>
            <w:top w:val="none" w:sz="0" w:space="0" w:color="auto"/>
            <w:left w:val="none" w:sz="0" w:space="0" w:color="auto"/>
            <w:bottom w:val="none" w:sz="0" w:space="0" w:color="auto"/>
            <w:right w:val="none" w:sz="0" w:space="0" w:color="auto"/>
          </w:divBdr>
        </w:div>
        <w:div w:id="454056423">
          <w:marLeft w:val="0"/>
          <w:marRight w:val="0"/>
          <w:marTop w:val="0"/>
          <w:marBottom w:val="0"/>
          <w:divBdr>
            <w:top w:val="none" w:sz="0" w:space="0" w:color="auto"/>
            <w:left w:val="none" w:sz="0" w:space="0" w:color="auto"/>
            <w:bottom w:val="none" w:sz="0" w:space="0" w:color="auto"/>
            <w:right w:val="none" w:sz="0" w:space="0" w:color="auto"/>
          </w:divBdr>
        </w:div>
        <w:div w:id="1656493157">
          <w:marLeft w:val="0"/>
          <w:marRight w:val="0"/>
          <w:marTop w:val="0"/>
          <w:marBottom w:val="0"/>
          <w:divBdr>
            <w:top w:val="none" w:sz="0" w:space="0" w:color="auto"/>
            <w:left w:val="none" w:sz="0" w:space="0" w:color="auto"/>
            <w:bottom w:val="none" w:sz="0" w:space="0" w:color="auto"/>
            <w:right w:val="none" w:sz="0" w:space="0" w:color="auto"/>
          </w:divBdr>
        </w:div>
        <w:div w:id="2028090821">
          <w:marLeft w:val="0"/>
          <w:marRight w:val="0"/>
          <w:marTop w:val="0"/>
          <w:marBottom w:val="0"/>
          <w:divBdr>
            <w:top w:val="none" w:sz="0" w:space="0" w:color="auto"/>
            <w:left w:val="none" w:sz="0" w:space="0" w:color="auto"/>
            <w:bottom w:val="none" w:sz="0" w:space="0" w:color="auto"/>
            <w:right w:val="none" w:sz="0" w:space="0" w:color="auto"/>
          </w:divBdr>
        </w:div>
        <w:div w:id="1040713252">
          <w:marLeft w:val="0"/>
          <w:marRight w:val="0"/>
          <w:marTop w:val="0"/>
          <w:marBottom w:val="0"/>
          <w:divBdr>
            <w:top w:val="none" w:sz="0" w:space="0" w:color="auto"/>
            <w:left w:val="none" w:sz="0" w:space="0" w:color="auto"/>
            <w:bottom w:val="none" w:sz="0" w:space="0" w:color="auto"/>
            <w:right w:val="none" w:sz="0" w:space="0" w:color="auto"/>
          </w:divBdr>
        </w:div>
        <w:div w:id="758795539">
          <w:marLeft w:val="0"/>
          <w:marRight w:val="0"/>
          <w:marTop w:val="0"/>
          <w:marBottom w:val="0"/>
          <w:divBdr>
            <w:top w:val="none" w:sz="0" w:space="0" w:color="auto"/>
            <w:left w:val="none" w:sz="0" w:space="0" w:color="auto"/>
            <w:bottom w:val="none" w:sz="0" w:space="0" w:color="auto"/>
            <w:right w:val="none" w:sz="0" w:space="0" w:color="auto"/>
          </w:divBdr>
        </w:div>
        <w:div w:id="2091806985">
          <w:marLeft w:val="0"/>
          <w:marRight w:val="0"/>
          <w:marTop w:val="0"/>
          <w:marBottom w:val="0"/>
          <w:divBdr>
            <w:top w:val="none" w:sz="0" w:space="0" w:color="auto"/>
            <w:left w:val="none" w:sz="0" w:space="0" w:color="auto"/>
            <w:bottom w:val="none" w:sz="0" w:space="0" w:color="auto"/>
            <w:right w:val="none" w:sz="0" w:space="0" w:color="auto"/>
          </w:divBdr>
        </w:div>
        <w:div w:id="291251222">
          <w:marLeft w:val="0"/>
          <w:marRight w:val="0"/>
          <w:marTop w:val="0"/>
          <w:marBottom w:val="0"/>
          <w:divBdr>
            <w:top w:val="none" w:sz="0" w:space="0" w:color="auto"/>
            <w:left w:val="none" w:sz="0" w:space="0" w:color="auto"/>
            <w:bottom w:val="none" w:sz="0" w:space="0" w:color="auto"/>
            <w:right w:val="none" w:sz="0" w:space="0" w:color="auto"/>
          </w:divBdr>
        </w:div>
        <w:div w:id="1720084266">
          <w:marLeft w:val="0"/>
          <w:marRight w:val="0"/>
          <w:marTop w:val="0"/>
          <w:marBottom w:val="0"/>
          <w:divBdr>
            <w:top w:val="none" w:sz="0" w:space="0" w:color="auto"/>
            <w:left w:val="none" w:sz="0" w:space="0" w:color="auto"/>
            <w:bottom w:val="none" w:sz="0" w:space="0" w:color="auto"/>
            <w:right w:val="none" w:sz="0" w:space="0" w:color="auto"/>
          </w:divBdr>
        </w:div>
        <w:div w:id="1266618837">
          <w:marLeft w:val="0"/>
          <w:marRight w:val="0"/>
          <w:marTop w:val="0"/>
          <w:marBottom w:val="0"/>
          <w:divBdr>
            <w:top w:val="none" w:sz="0" w:space="0" w:color="auto"/>
            <w:left w:val="none" w:sz="0" w:space="0" w:color="auto"/>
            <w:bottom w:val="none" w:sz="0" w:space="0" w:color="auto"/>
            <w:right w:val="none" w:sz="0" w:space="0" w:color="auto"/>
          </w:divBdr>
        </w:div>
        <w:div w:id="443499127">
          <w:marLeft w:val="0"/>
          <w:marRight w:val="0"/>
          <w:marTop w:val="0"/>
          <w:marBottom w:val="0"/>
          <w:divBdr>
            <w:top w:val="none" w:sz="0" w:space="0" w:color="auto"/>
            <w:left w:val="none" w:sz="0" w:space="0" w:color="auto"/>
            <w:bottom w:val="none" w:sz="0" w:space="0" w:color="auto"/>
            <w:right w:val="none" w:sz="0" w:space="0" w:color="auto"/>
          </w:divBdr>
        </w:div>
        <w:div w:id="1927491911">
          <w:marLeft w:val="0"/>
          <w:marRight w:val="0"/>
          <w:marTop w:val="0"/>
          <w:marBottom w:val="0"/>
          <w:divBdr>
            <w:top w:val="none" w:sz="0" w:space="0" w:color="auto"/>
            <w:left w:val="none" w:sz="0" w:space="0" w:color="auto"/>
            <w:bottom w:val="none" w:sz="0" w:space="0" w:color="auto"/>
            <w:right w:val="none" w:sz="0" w:space="0" w:color="auto"/>
          </w:divBdr>
        </w:div>
        <w:div w:id="90127275">
          <w:marLeft w:val="0"/>
          <w:marRight w:val="0"/>
          <w:marTop w:val="0"/>
          <w:marBottom w:val="0"/>
          <w:divBdr>
            <w:top w:val="none" w:sz="0" w:space="0" w:color="auto"/>
            <w:left w:val="none" w:sz="0" w:space="0" w:color="auto"/>
            <w:bottom w:val="none" w:sz="0" w:space="0" w:color="auto"/>
            <w:right w:val="none" w:sz="0" w:space="0" w:color="auto"/>
          </w:divBdr>
        </w:div>
        <w:div w:id="532156948">
          <w:marLeft w:val="0"/>
          <w:marRight w:val="0"/>
          <w:marTop w:val="0"/>
          <w:marBottom w:val="0"/>
          <w:divBdr>
            <w:top w:val="none" w:sz="0" w:space="0" w:color="auto"/>
            <w:left w:val="none" w:sz="0" w:space="0" w:color="auto"/>
            <w:bottom w:val="none" w:sz="0" w:space="0" w:color="auto"/>
            <w:right w:val="none" w:sz="0" w:space="0" w:color="auto"/>
          </w:divBdr>
        </w:div>
        <w:div w:id="373383629">
          <w:marLeft w:val="0"/>
          <w:marRight w:val="0"/>
          <w:marTop w:val="0"/>
          <w:marBottom w:val="0"/>
          <w:divBdr>
            <w:top w:val="none" w:sz="0" w:space="0" w:color="auto"/>
            <w:left w:val="none" w:sz="0" w:space="0" w:color="auto"/>
            <w:bottom w:val="none" w:sz="0" w:space="0" w:color="auto"/>
            <w:right w:val="none" w:sz="0" w:space="0" w:color="auto"/>
          </w:divBdr>
        </w:div>
        <w:div w:id="402680227">
          <w:marLeft w:val="0"/>
          <w:marRight w:val="0"/>
          <w:marTop w:val="0"/>
          <w:marBottom w:val="0"/>
          <w:divBdr>
            <w:top w:val="none" w:sz="0" w:space="0" w:color="auto"/>
            <w:left w:val="none" w:sz="0" w:space="0" w:color="auto"/>
            <w:bottom w:val="none" w:sz="0" w:space="0" w:color="auto"/>
            <w:right w:val="none" w:sz="0" w:space="0" w:color="auto"/>
          </w:divBdr>
        </w:div>
        <w:div w:id="947085291">
          <w:marLeft w:val="0"/>
          <w:marRight w:val="0"/>
          <w:marTop w:val="0"/>
          <w:marBottom w:val="0"/>
          <w:divBdr>
            <w:top w:val="none" w:sz="0" w:space="0" w:color="auto"/>
            <w:left w:val="none" w:sz="0" w:space="0" w:color="auto"/>
            <w:bottom w:val="none" w:sz="0" w:space="0" w:color="auto"/>
            <w:right w:val="none" w:sz="0" w:space="0" w:color="auto"/>
          </w:divBdr>
        </w:div>
        <w:div w:id="1355688696">
          <w:marLeft w:val="0"/>
          <w:marRight w:val="0"/>
          <w:marTop w:val="0"/>
          <w:marBottom w:val="0"/>
          <w:divBdr>
            <w:top w:val="none" w:sz="0" w:space="0" w:color="auto"/>
            <w:left w:val="none" w:sz="0" w:space="0" w:color="auto"/>
            <w:bottom w:val="none" w:sz="0" w:space="0" w:color="auto"/>
            <w:right w:val="none" w:sz="0" w:space="0" w:color="auto"/>
          </w:divBdr>
        </w:div>
        <w:div w:id="120463147">
          <w:marLeft w:val="0"/>
          <w:marRight w:val="0"/>
          <w:marTop w:val="0"/>
          <w:marBottom w:val="0"/>
          <w:divBdr>
            <w:top w:val="none" w:sz="0" w:space="0" w:color="auto"/>
            <w:left w:val="none" w:sz="0" w:space="0" w:color="auto"/>
            <w:bottom w:val="none" w:sz="0" w:space="0" w:color="auto"/>
            <w:right w:val="none" w:sz="0" w:space="0" w:color="auto"/>
          </w:divBdr>
        </w:div>
        <w:div w:id="1118372917">
          <w:marLeft w:val="0"/>
          <w:marRight w:val="0"/>
          <w:marTop w:val="0"/>
          <w:marBottom w:val="0"/>
          <w:divBdr>
            <w:top w:val="none" w:sz="0" w:space="0" w:color="auto"/>
            <w:left w:val="none" w:sz="0" w:space="0" w:color="auto"/>
            <w:bottom w:val="none" w:sz="0" w:space="0" w:color="auto"/>
            <w:right w:val="none" w:sz="0" w:space="0" w:color="auto"/>
          </w:divBdr>
        </w:div>
        <w:div w:id="2090954258">
          <w:marLeft w:val="0"/>
          <w:marRight w:val="0"/>
          <w:marTop w:val="0"/>
          <w:marBottom w:val="0"/>
          <w:divBdr>
            <w:top w:val="none" w:sz="0" w:space="0" w:color="auto"/>
            <w:left w:val="none" w:sz="0" w:space="0" w:color="auto"/>
            <w:bottom w:val="none" w:sz="0" w:space="0" w:color="auto"/>
            <w:right w:val="none" w:sz="0" w:space="0" w:color="auto"/>
          </w:divBdr>
        </w:div>
        <w:div w:id="1160269575">
          <w:marLeft w:val="0"/>
          <w:marRight w:val="0"/>
          <w:marTop w:val="0"/>
          <w:marBottom w:val="0"/>
          <w:divBdr>
            <w:top w:val="none" w:sz="0" w:space="0" w:color="auto"/>
            <w:left w:val="none" w:sz="0" w:space="0" w:color="auto"/>
            <w:bottom w:val="none" w:sz="0" w:space="0" w:color="auto"/>
            <w:right w:val="none" w:sz="0" w:space="0" w:color="auto"/>
          </w:divBdr>
        </w:div>
        <w:div w:id="1744644223">
          <w:marLeft w:val="0"/>
          <w:marRight w:val="0"/>
          <w:marTop w:val="0"/>
          <w:marBottom w:val="0"/>
          <w:divBdr>
            <w:top w:val="none" w:sz="0" w:space="0" w:color="auto"/>
            <w:left w:val="none" w:sz="0" w:space="0" w:color="auto"/>
            <w:bottom w:val="none" w:sz="0" w:space="0" w:color="auto"/>
            <w:right w:val="none" w:sz="0" w:space="0" w:color="auto"/>
          </w:divBdr>
        </w:div>
        <w:div w:id="889533059">
          <w:marLeft w:val="0"/>
          <w:marRight w:val="0"/>
          <w:marTop w:val="0"/>
          <w:marBottom w:val="0"/>
          <w:divBdr>
            <w:top w:val="none" w:sz="0" w:space="0" w:color="auto"/>
            <w:left w:val="none" w:sz="0" w:space="0" w:color="auto"/>
            <w:bottom w:val="none" w:sz="0" w:space="0" w:color="auto"/>
            <w:right w:val="none" w:sz="0" w:space="0" w:color="auto"/>
          </w:divBdr>
        </w:div>
        <w:div w:id="1489591770">
          <w:marLeft w:val="0"/>
          <w:marRight w:val="0"/>
          <w:marTop w:val="0"/>
          <w:marBottom w:val="0"/>
          <w:divBdr>
            <w:top w:val="none" w:sz="0" w:space="0" w:color="auto"/>
            <w:left w:val="none" w:sz="0" w:space="0" w:color="auto"/>
            <w:bottom w:val="none" w:sz="0" w:space="0" w:color="auto"/>
            <w:right w:val="none" w:sz="0" w:space="0" w:color="auto"/>
          </w:divBdr>
        </w:div>
        <w:div w:id="174417040">
          <w:marLeft w:val="0"/>
          <w:marRight w:val="0"/>
          <w:marTop w:val="0"/>
          <w:marBottom w:val="0"/>
          <w:divBdr>
            <w:top w:val="none" w:sz="0" w:space="0" w:color="auto"/>
            <w:left w:val="none" w:sz="0" w:space="0" w:color="auto"/>
            <w:bottom w:val="none" w:sz="0" w:space="0" w:color="auto"/>
            <w:right w:val="none" w:sz="0" w:space="0" w:color="auto"/>
          </w:divBdr>
        </w:div>
        <w:div w:id="28846570">
          <w:marLeft w:val="0"/>
          <w:marRight w:val="0"/>
          <w:marTop w:val="0"/>
          <w:marBottom w:val="0"/>
          <w:divBdr>
            <w:top w:val="none" w:sz="0" w:space="0" w:color="auto"/>
            <w:left w:val="none" w:sz="0" w:space="0" w:color="auto"/>
            <w:bottom w:val="none" w:sz="0" w:space="0" w:color="auto"/>
            <w:right w:val="none" w:sz="0" w:space="0" w:color="auto"/>
          </w:divBdr>
        </w:div>
        <w:div w:id="2103061436">
          <w:marLeft w:val="0"/>
          <w:marRight w:val="0"/>
          <w:marTop w:val="0"/>
          <w:marBottom w:val="0"/>
          <w:divBdr>
            <w:top w:val="none" w:sz="0" w:space="0" w:color="auto"/>
            <w:left w:val="none" w:sz="0" w:space="0" w:color="auto"/>
            <w:bottom w:val="none" w:sz="0" w:space="0" w:color="auto"/>
            <w:right w:val="none" w:sz="0" w:space="0" w:color="auto"/>
          </w:divBdr>
        </w:div>
        <w:div w:id="1581912662">
          <w:marLeft w:val="0"/>
          <w:marRight w:val="0"/>
          <w:marTop w:val="0"/>
          <w:marBottom w:val="0"/>
          <w:divBdr>
            <w:top w:val="none" w:sz="0" w:space="0" w:color="auto"/>
            <w:left w:val="none" w:sz="0" w:space="0" w:color="auto"/>
            <w:bottom w:val="none" w:sz="0" w:space="0" w:color="auto"/>
            <w:right w:val="none" w:sz="0" w:space="0" w:color="auto"/>
          </w:divBdr>
        </w:div>
        <w:div w:id="2102290733">
          <w:marLeft w:val="0"/>
          <w:marRight w:val="0"/>
          <w:marTop w:val="0"/>
          <w:marBottom w:val="0"/>
          <w:divBdr>
            <w:top w:val="none" w:sz="0" w:space="0" w:color="auto"/>
            <w:left w:val="none" w:sz="0" w:space="0" w:color="auto"/>
            <w:bottom w:val="none" w:sz="0" w:space="0" w:color="auto"/>
            <w:right w:val="none" w:sz="0" w:space="0" w:color="auto"/>
          </w:divBdr>
        </w:div>
        <w:div w:id="109978776">
          <w:marLeft w:val="0"/>
          <w:marRight w:val="0"/>
          <w:marTop w:val="0"/>
          <w:marBottom w:val="0"/>
          <w:divBdr>
            <w:top w:val="none" w:sz="0" w:space="0" w:color="auto"/>
            <w:left w:val="none" w:sz="0" w:space="0" w:color="auto"/>
            <w:bottom w:val="none" w:sz="0" w:space="0" w:color="auto"/>
            <w:right w:val="none" w:sz="0" w:space="0" w:color="auto"/>
          </w:divBdr>
        </w:div>
        <w:div w:id="1557424562">
          <w:marLeft w:val="0"/>
          <w:marRight w:val="0"/>
          <w:marTop w:val="0"/>
          <w:marBottom w:val="0"/>
          <w:divBdr>
            <w:top w:val="none" w:sz="0" w:space="0" w:color="auto"/>
            <w:left w:val="none" w:sz="0" w:space="0" w:color="auto"/>
            <w:bottom w:val="none" w:sz="0" w:space="0" w:color="auto"/>
            <w:right w:val="none" w:sz="0" w:space="0" w:color="auto"/>
          </w:divBdr>
        </w:div>
        <w:div w:id="1783568155">
          <w:marLeft w:val="0"/>
          <w:marRight w:val="0"/>
          <w:marTop w:val="0"/>
          <w:marBottom w:val="0"/>
          <w:divBdr>
            <w:top w:val="none" w:sz="0" w:space="0" w:color="auto"/>
            <w:left w:val="none" w:sz="0" w:space="0" w:color="auto"/>
            <w:bottom w:val="none" w:sz="0" w:space="0" w:color="auto"/>
            <w:right w:val="none" w:sz="0" w:space="0" w:color="auto"/>
          </w:divBdr>
        </w:div>
        <w:div w:id="1686519836">
          <w:marLeft w:val="0"/>
          <w:marRight w:val="0"/>
          <w:marTop w:val="0"/>
          <w:marBottom w:val="0"/>
          <w:divBdr>
            <w:top w:val="none" w:sz="0" w:space="0" w:color="auto"/>
            <w:left w:val="none" w:sz="0" w:space="0" w:color="auto"/>
            <w:bottom w:val="none" w:sz="0" w:space="0" w:color="auto"/>
            <w:right w:val="none" w:sz="0" w:space="0" w:color="auto"/>
          </w:divBdr>
        </w:div>
        <w:div w:id="138961000">
          <w:marLeft w:val="0"/>
          <w:marRight w:val="0"/>
          <w:marTop w:val="0"/>
          <w:marBottom w:val="0"/>
          <w:divBdr>
            <w:top w:val="none" w:sz="0" w:space="0" w:color="auto"/>
            <w:left w:val="none" w:sz="0" w:space="0" w:color="auto"/>
            <w:bottom w:val="none" w:sz="0" w:space="0" w:color="auto"/>
            <w:right w:val="none" w:sz="0" w:space="0" w:color="auto"/>
          </w:divBdr>
        </w:div>
        <w:div w:id="689835382">
          <w:marLeft w:val="0"/>
          <w:marRight w:val="0"/>
          <w:marTop w:val="0"/>
          <w:marBottom w:val="0"/>
          <w:divBdr>
            <w:top w:val="none" w:sz="0" w:space="0" w:color="auto"/>
            <w:left w:val="none" w:sz="0" w:space="0" w:color="auto"/>
            <w:bottom w:val="none" w:sz="0" w:space="0" w:color="auto"/>
            <w:right w:val="none" w:sz="0" w:space="0" w:color="auto"/>
          </w:divBdr>
        </w:div>
        <w:div w:id="2001493413">
          <w:marLeft w:val="0"/>
          <w:marRight w:val="0"/>
          <w:marTop w:val="0"/>
          <w:marBottom w:val="0"/>
          <w:divBdr>
            <w:top w:val="none" w:sz="0" w:space="0" w:color="auto"/>
            <w:left w:val="none" w:sz="0" w:space="0" w:color="auto"/>
            <w:bottom w:val="none" w:sz="0" w:space="0" w:color="auto"/>
            <w:right w:val="none" w:sz="0" w:space="0" w:color="auto"/>
          </w:divBdr>
        </w:div>
        <w:div w:id="393743125">
          <w:marLeft w:val="0"/>
          <w:marRight w:val="0"/>
          <w:marTop w:val="0"/>
          <w:marBottom w:val="0"/>
          <w:divBdr>
            <w:top w:val="none" w:sz="0" w:space="0" w:color="auto"/>
            <w:left w:val="none" w:sz="0" w:space="0" w:color="auto"/>
            <w:bottom w:val="none" w:sz="0" w:space="0" w:color="auto"/>
            <w:right w:val="none" w:sz="0" w:space="0" w:color="auto"/>
          </w:divBdr>
        </w:div>
        <w:div w:id="669722775">
          <w:marLeft w:val="0"/>
          <w:marRight w:val="0"/>
          <w:marTop w:val="0"/>
          <w:marBottom w:val="0"/>
          <w:divBdr>
            <w:top w:val="none" w:sz="0" w:space="0" w:color="auto"/>
            <w:left w:val="none" w:sz="0" w:space="0" w:color="auto"/>
            <w:bottom w:val="none" w:sz="0" w:space="0" w:color="auto"/>
            <w:right w:val="none" w:sz="0" w:space="0" w:color="auto"/>
          </w:divBdr>
        </w:div>
        <w:div w:id="1235896814">
          <w:marLeft w:val="0"/>
          <w:marRight w:val="0"/>
          <w:marTop w:val="0"/>
          <w:marBottom w:val="0"/>
          <w:divBdr>
            <w:top w:val="none" w:sz="0" w:space="0" w:color="auto"/>
            <w:left w:val="none" w:sz="0" w:space="0" w:color="auto"/>
            <w:bottom w:val="none" w:sz="0" w:space="0" w:color="auto"/>
            <w:right w:val="none" w:sz="0" w:space="0" w:color="auto"/>
          </w:divBdr>
        </w:div>
        <w:div w:id="1462919064">
          <w:marLeft w:val="0"/>
          <w:marRight w:val="0"/>
          <w:marTop w:val="0"/>
          <w:marBottom w:val="0"/>
          <w:divBdr>
            <w:top w:val="none" w:sz="0" w:space="0" w:color="auto"/>
            <w:left w:val="none" w:sz="0" w:space="0" w:color="auto"/>
            <w:bottom w:val="none" w:sz="0" w:space="0" w:color="auto"/>
            <w:right w:val="none" w:sz="0" w:space="0" w:color="auto"/>
          </w:divBdr>
        </w:div>
        <w:div w:id="1766151587">
          <w:marLeft w:val="0"/>
          <w:marRight w:val="0"/>
          <w:marTop w:val="0"/>
          <w:marBottom w:val="0"/>
          <w:divBdr>
            <w:top w:val="none" w:sz="0" w:space="0" w:color="auto"/>
            <w:left w:val="none" w:sz="0" w:space="0" w:color="auto"/>
            <w:bottom w:val="none" w:sz="0" w:space="0" w:color="auto"/>
            <w:right w:val="none" w:sz="0" w:space="0" w:color="auto"/>
          </w:divBdr>
        </w:div>
        <w:div w:id="1689332382">
          <w:marLeft w:val="0"/>
          <w:marRight w:val="0"/>
          <w:marTop w:val="0"/>
          <w:marBottom w:val="0"/>
          <w:divBdr>
            <w:top w:val="none" w:sz="0" w:space="0" w:color="auto"/>
            <w:left w:val="none" w:sz="0" w:space="0" w:color="auto"/>
            <w:bottom w:val="none" w:sz="0" w:space="0" w:color="auto"/>
            <w:right w:val="none" w:sz="0" w:space="0" w:color="auto"/>
          </w:divBdr>
        </w:div>
        <w:div w:id="2069764484">
          <w:marLeft w:val="0"/>
          <w:marRight w:val="0"/>
          <w:marTop w:val="0"/>
          <w:marBottom w:val="0"/>
          <w:divBdr>
            <w:top w:val="none" w:sz="0" w:space="0" w:color="auto"/>
            <w:left w:val="none" w:sz="0" w:space="0" w:color="auto"/>
            <w:bottom w:val="none" w:sz="0" w:space="0" w:color="auto"/>
            <w:right w:val="none" w:sz="0" w:space="0" w:color="auto"/>
          </w:divBdr>
        </w:div>
        <w:div w:id="2078938591">
          <w:marLeft w:val="0"/>
          <w:marRight w:val="0"/>
          <w:marTop w:val="0"/>
          <w:marBottom w:val="0"/>
          <w:divBdr>
            <w:top w:val="none" w:sz="0" w:space="0" w:color="auto"/>
            <w:left w:val="none" w:sz="0" w:space="0" w:color="auto"/>
            <w:bottom w:val="none" w:sz="0" w:space="0" w:color="auto"/>
            <w:right w:val="none" w:sz="0" w:space="0" w:color="auto"/>
          </w:divBdr>
        </w:div>
        <w:div w:id="491603133">
          <w:marLeft w:val="0"/>
          <w:marRight w:val="0"/>
          <w:marTop w:val="0"/>
          <w:marBottom w:val="0"/>
          <w:divBdr>
            <w:top w:val="none" w:sz="0" w:space="0" w:color="auto"/>
            <w:left w:val="none" w:sz="0" w:space="0" w:color="auto"/>
            <w:bottom w:val="none" w:sz="0" w:space="0" w:color="auto"/>
            <w:right w:val="none" w:sz="0" w:space="0" w:color="auto"/>
          </w:divBdr>
        </w:div>
        <w:div w:id="471098905">
          <w:marLeft w:val="0"/>
          <w:marRight w:val="0"/>
          <w:marTop w:val="0"/>
          <w:marBottom w:val="0"/>
          <w:divBdr>
            <w:top w:val="none" w:sz="0" w:space="0" w:color="auto"/>
            <w:left w:val="none" w:sz="0" w:space="0" w:color="auto"/>
            <w:bottom w:val="none" w:sz="0" w:space="0" w:color="auto"/>
            <w:right w:val="none" w:sz="0" w:space="0" w:color="auto"/>
          </w:divBdr>
        </w:div>
        <w:div w:id="1630016538">
          <w:marLeft w:val="0"/>
          <w:marRight w:val="0"/>
          <w:marTop w:val="0"/>
          <w:marBottom w:val="0"/>
          <w:divBdr>
            <w:top w:val="none" w:sz="0" w:space="0" w:color="auto"/>
            <w:left w:val="none" w:sz="0" w:space="0" w:color="auto"/>
            <w:bottom w:val="none" w:sz="0" w:space="0" w:color="auto"/>
            <w:right w:val="none" w:sz="0" w:space="0" w:color="auto"/>
          </w:divBdr>
        </w:div>
        <w:div w:id="1131557140">
          <w:marLeft w:val="0"/>
          <w:marRight w:val="0"/>
          <w:marTop w:val="0"/>
          <w:marBottom w:val="0"/>
          <w:divBdr>
            <w:top w:val="none" w:sz="0" w:space="0" w:color="auto"/>
            <w:left w:val="none" w:sz="0" w:space="0" w:color="auto"/>
            <w:bottom w:val="none" w:sz="0" w:space="0" w:color="auto"/>
            <w:right w:val="none" w:sz="0" w:space="0" w:color="auto"/>
          </w:divBdr>
        </w:div>
        <w:div w:id="1915696477">
          <w:marLeft w:val="0"/>
          <w:marRight w:val="0"/>
          <w:marTop w:val="0"/>
          <w:marBottom w:val="0"/>
          <w:divBdr>
            <w:top w:val="none" w:sz="0" w:space="0" w:color="auto"/>
            <w:left w:val="none" w:sz="0" w:space="0" w:color="auto"/>
            <w:bottom w:val="none" w:sz="0" w:space="0" w:color="auto"/>
            <w:right w:val="none" w:sz="0" w:space="0" w:color="auto"/>
          </w:divBdr>
        </w:div>
        <w:div w:id="1412890983">
          <w:marLeft w:val="0"/>
          <w:marRight w:val="0"/>
          <w:marTop w:val="0"/>
          <w:marBottom w:val="0"/>
          <w:divBdr>
            <w:top w:val="none" w:sz="0" w:space="0" w:color="auto"/>
            <w:left w:val="none" w:sz="0" w:space="0" w:color="auto"/>
            <w:bottom w:val="none" w:sz="0" w:space="0" w:color="auto"/>
            <w:right w:val="none" w:sz="0" w:space="0" w:color="auto"/>
          </w:divBdr>
        </w:div>
        <w:div w:id="12316974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cid:image001.jpg@01D08270.25DD6A00" TargetMode="External"/><Relationship Id="rId4" Type="http://schemas.microsoft.com/office/2007/relationships/stylesWithEffects" Target="stylesWithEffects.xml"/><Relationship Id="rId9" Type="http://schemas.openxmlformats.org/officeDocument/2006/relationships/image" Target="media/image1.jpeg"/></Relationships>
</file>

<file path=word/_rels/footnotes.xml.rels><?xml version="1.0" encoding="UTF-8" standalone="yes"?>
<Relationships xmlns="http://schemas.openxmlformats.org/package/2006/relationships"><Relationship Id="rId1" Type="http://schemas.openxmlformats.org/officeDocument/2006/relationships/hyperlink" Target="http://ase.tufts.edu/gdae/Pubs/wp/14-03CapaldoTTIP.pdf"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A87685-CC10-4FB2-A0ED-46F83AFE78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1653</Words>
  <Characters>9093</Characters>
  <Application>Microsoft Office Word</Application>
  <DocSecurity>0</DocSecurity>
  <Lines>75</Lines>
  <Paragraphs>21</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11.11.11</Company>
  <LinksUpToDate>false</LinksUpToDate>
  <CharactersWithSpaces>10725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dc:creator>
  <cp:lastModifiedBy>Jonas Jobe</cp:lastModifiedBy>
  <cp:revision>2</cp:revision>
  <dcterms:created xsi:type="dcterms:W3CDTF">2015-05-04T13:06:00Z</dcterms:created>
  <dcterms:modified xsi:type="dcterms:W3CDTF">2015-05-04T13:06:00Z</dcterms:modified>
</cp:coreProperties>
</file>