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le"/>
        <w:spacing w:before="0" w:after="0"/>
        <w:rPr>
          <w:rFonts w:ascii="Cambria" w:hAnsi="Cambria"/>
          <w:sz w:val="36"/>
          <w:szCs w:val="36"/>
        </w:rPr>
      </w:pPr>
      <w:r>
        <w:rPr>
          <w:rFonts w:ascii="Cambria" w:hAnsi="Cambria"/>
          <w:sz w:val="36"/>
          <w:szCs w:val="36"/>
        </w:rPr>
      </w:r>
    </w:p>
    <w:p>
      <w:pPr>
        <w:pStyle w:val="Title"/>
        <w:spacing w:before="0" w:after="0"/>
        <w:rPr>
          <w:rFonts w:ascii="Cambria" w:hAnsi="Cambria"/>
          <w:sz w:val="36"/>
          <w:szCs w:val="36"/>
        </w:rPr>
      </w:pPr>
      <w:r>
        <w:rPr>
          <w:rFonts w:ascii="Cambria" w:hAnsi="Cambria"/>
          <w:sz w:val="36"/>
          <w:szCs w:val="36"/>
        </w:rPr>
        <w:t>15</w:t>
      </w:r>
      <w:r>
        <w:rPr>
          <w:rFonts w:ascii="Cambria" w:hAnsi="Cambria"/>
          <w:sz w:val="36"/>
          <w:szCs w:val="36"/>
          <w:vertAlign w:val="superscript"/>
        </w:rPr>
        <w:t>th</w:t>
      </w:r>
      <w:r>
        <w:rPr>
          <w:rFonts w:ascii="Cambria" w:hAnsi="Cambria"/>
          <w:sz w:val="36"/>
          <w:szCs w:val="36"/>
        </w:rPr>
        <w:t xml:space="preserve"> Intersessional Meeting of PACER Plus Officials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XXXXX, YYYYY</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XX to YY</w:t>
      </w:r>
      <w:bookmarkStart w:id="0" w:name="_GoBack"/>
      <w:bookmarkEnd w:id="0"/>
      <w:r>
        <w:rPr>
          <w:rFonts w:ascii="Cambria" w:hAnsi="Cambria"/>
          <w:b/>
          <w:sz w:val="36"/>
          <w:szCs w:val="36"/>
        </w:rPr>
        <w:t xml:space="preserve">  May/June 2016</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Heading3"/>
        <w:rPr>
          <w:sz w:val="36"/>
          <w:szCs w:val="36"/>
        </w:rPr>
      </w:pPr>
      <w:r>
        <w:rPr>
          <w:sz w:val="36"/>
          <w:szCs w:val="36"/>
        </w:rPr>
      </w:r>
    </w:p>
    <w:p>
      <w:pPr>
        <w:pStyle w:val="Heading3"/>
        <w:rPr>
          <w:sz w:val="36"/>
          <w:szCs w:val="36"/>
        </w:rPr>
      </w:pPr>
      <w:r>
        <w:rPr>
          <w:sz w:val="36"/>
          <w:szCs w:val="36"/>
        </w:rPr>
        <w:t xml:space="preserve">Draft Chapter on the Temporary Movement of </w:t>
      </w:r>
    </w:p>
    <w:p>
      <w:pPr>
        <w:pStyle w:val="Heading3"/>
        <w:rPr>
          <w:sz w:val="36"/>
          <w:szCs w:val="36"/>
        </w:rPr>
      </w:pPr>
      <w:r>
        <w:rPr>
          <w:sz w:val="36"/>
          <w:szCs w:val="36"/>
        </w:rPr>
        <w:t>Natural Persons</w:t>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r>
    </w:p>
    <w:p>
      <w:pPr>
        <w:pStyle w:val="Normal"/>
        <w:jc w:val="center"/>
        <w:rPr>
          <w:rFonts w:ascii="Cambria" w:hAnsi="Cambria"/>
          <w:b/>
          <w:sz w:val="36"/>
          <w:szCs w:val="36"/>
        </w:rPr>
      </w:pPr>
      <w:r>
        <w:rPr>
          <w:rFonts w:ascii="Cambria" w:hAnsi="Cambria"/>
          <w:b/>
          <w:sz w:val="36"/>
          <w:szCs w:val="36"/>
        </w:rPr>
        <w:t>Working Document incorporating revised outcomes of the 14</w:t>
      </w:r>
      <w:r>
        <w:rPr>
          <w:rFonts w:ascii="Cambria" w:hAnsi="Cambria"/>
          <w:b/>
          <w:sz w:val="36"/>
          <w:szCs w:val="36"/>
          <w:vertAlign w:val="superscript"/>
        </w:rPr>
        <w:t>th </w:t>
      </w:r>
      <w:r>
        <w:rPr>
          <w:rFonts w:ascii="Cambria" w:hAnsi="Cambria"/>
          <w:b/>
          <w:sz w:val="36"/>
          <w:szCs w:val="36"/>
        </w:rPr>
        <w:t>Intersessional Meeting</w:t>
      </w:r>
    </w:p>
    <w:p>
      <w:pPr>
        <w:pStyle w:val="Annotationtext"/>
        <w:rPr/>
      </w:pPr>
      <w:r>
        <w:rPr/>
      </w:r>
    </w:p>
    <w:p>
      <w:pPr>
        <w:pStyle w:val="Annotationtext"/>
        <w:rPr>
          <w:i/>
        </w:rPr>
      </w:pPr>
      <w:r>
        <w:rPr>
          <w:i/>
        </w:rPr>
      </w:r>
    </w:p>
    <w:p>
      <w:pPr>
        <w:pStyle w:val="Annotationtext"/>
        <w:rPr>
          <w:i/>
        </w:rPr>
      </w:pPr>
      <w:r>
        <w:rPr>
          <w:i/>
        </w:rPr>
      </w:r>
    </w:p>
    <w:p>
      <w:pPr>
        <w:pStyle w:val="Normal"/>
        <w:spacing w:lineRule="auto" w:line="276" w:before="0" w:after="200"/>
        <w:rPr>
          <w:rFonts w:ascii="Cambria" w:hAnsi="Cambria"/>
          <w:b/>
          <w:sz w:val="32"/>
          <w:szCs w:val="32"/>
        </w:rPr>
      </w:pPr>
      <w:r>
        <w:rPr>
          <w:rFonts w:ascii="Cambria" w:hAnsi="Cambria"/>
          <w:b/>
          <w:sz w:val="32"/>
          <w:szCs w:val="32"/>
        </w:rPr>
      </w:r>
    </w:p>
    <w:p>
      <w:pPr>
        <w:pStyle w:val="Normal"/>
        <w:pageBreakBefore/>
        <w:spacing w:lineRule="atLeast" w:line="240"/>
        <w:rPr>
          <w:b/>
          <w:color w:val="000000"/>
          <w:u w:val="single"/>
        </w:rPr>
      </w:pPr>
      <w:r>
        <w:rPr>
          <w:b/>
          <w:color w:val="000000"/>
          <w:u w:val="single"/>
        </w:rPr>
        <w:t>NOTE:</w:t>
      </w:r>
    </w:p>
    <w:p>
      <w:pPr>
        <w:pStyle w:val="Normal"/>
        <w:spacing w:lineRule="atLeast" w:line="240"/>
        <w:rPr>
          <w:color w:val="000000"/>
        </w:rPr>
      </w:pPr>
      <w:r>
        <w:rPr>
          <w:color w:val="000000"/>
        </w:rPr>
      </w:r>
    </w:p>
    <w:p>
      <w:pPr>
        <w:pStyle w:val="Default"/>
        <w:widowControl/>
        <w:spacing w:before="0" w:after="0"/>
        <w:contextualSpacing/>
        <w:jc w:val="both"/>
        <w:rPr>
          <w:rFonts w:cs="Calibri"/>
          <w:lang w:val="en-AU" w:eastAsia="en-US"/>
        </w:rPr>
      </w:pPr>
      <w:r>
        <w:rPr>
          <w:rFonts w:cs="Calibri"/>
          <w:lang w:val="en-AU" w:eastAsia="en-US"/>
        </w:rPr>
        <w:t>This Document contains clean copy draft text incorporating revised outcomes of the 14</w:t>
      </w:r>
      <w:r>
        <w:rPr>
          <w:rFonts w:cs="Calibri"/>
          <w:vertAlign w:val="superscript"/>
          <w:lang w:val="en-AU" w:eastAsia="en-US"/>
        </w:rPr>
        <w:t xml:space="preserve">th </w:t>
      </w:r>
      <w:r>
        <w:rPr>
          <w:rFonts w:cs="Calibri"/>
          <w:lang w:val="en-AU" w:eastAsia="en-US"/>
        </w:rPr>
        <w:t>Intersessional Meeting of PACER Plus Officials.</w:t>
      </w:r>
    </w:p>
    <w:p>
      <w:pPr>
        <w:pStyle w:val="Normal"/>
        <w:spacing w:lineRule="atLeast" w:line="240"/>
        <w:rPr>
          <w:color w:val="000000"/>
        </w:rPr>
      </w:pPr>
      <w:r>
        <w:rPr>
          <w:color w:val="000000"/>
        </w:rPr>
      </w:r>
    </w:p>
    <w:p>
      <w:pPr>
        <w:pStyle w:val="BodyText3"/>
        <w:spacing w:before="0" w:after="0"/>
        <w:rPr>
          <w:sz w:val="24"/>
          <w:szCs w:val="24"/>
        </w:rPr>
      </w:pPr>
      <w:r>
        <w:rPr>
          <w:sz w:val="24"/>
          <w:szCs w:val="24"/>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FF0000"/>
          <w:szCs w:val="24"/>
        </w:rPr>
        <w:t>PIC:</w:t>
      </w:r>
      <w:r>
        <w:rPr>
          <w:rFonts w:ascii="Times New Roman" w:hAnsi="Times New Roman"/>
          <w:szCs w:val="24"/>
        </w:rPr>
        <w:t>” for text tabled by OCTA/PICs;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rPr>
          <w:sz w:val="24"/>
          <w:szCs w:val="24"/>
        </w:rPr>
      </w:pPr>
      <w:r>
        <w:rPr>
          <w:sz w:val="24"/>
          <w:szCs w:val="24"/>
        </w:rPr>
        <w:t>Text in square brackets is bolded and coded as follows:</w:t>
      </w:r>
    </w:p>
    <w:p>
      <w:pPr>
        <w:pStyle w:val="PlainText"/>
        <w:numPr>
          <w:ilvl w:val="0"/>
          <w:numId w:val="1"/>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OCTA/PICs; and</w:t>
      </w:r>
    </w:p>
    <w:p>
      <w:pPr>
        <w:pStyle w:val="PlainText"/>
        <w:numPr>
          <w:ilvl w:val="0"/>
          <w:numId w:val="1"/>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rPr>
          <w:rFonts w:cs="Calibri"/>
          <w:lang w:eastAsia="en-US"/>
        </w:rPr>
      </w:pPr>
      <w:r>
        <w:rPr>
          <w:rFonts w:cs="Calibri"/>
          <w:lang w:eastAsia="en-US"/>
        </w:rPr>
      </w:r>
    </w:p>
    <w:p>
      <w:pPr>
        <w:sectPr>
          <w:headerReference w:type="default" r:id="rId2"/>
          <w:footerReference w:type="default" r:id="rId3"/>
          <w:type w:val="nextPage"/>
          <w:pgSz w:w="11906" w:h="16838"/>
          <w:pgMar w:left="1440" w:right="1440" w:header="709" w:top="1440" w:footer="709" w:bottom="1440" w:gutter="0"/>
          <w:pgNumType w:fmt="decimal"/>
          <w:formProt w:val="false"/>
          <w:textDirection w:val="lrTb"/>
          <w:docGrid w:type="default" w:linePitch="360" w:charSpace="4294961151"/>
        </w:sectPr>
        <w:pStyle w:val="PlainText"/>
        <w:rPr>
          <w:rFonts w:ascii="Times New Roman" w:hAnsi="Times New Roman"/>
          <w:szCs w:val="24"/>
        </w:rPr>
      </w:pPr>
      <w:r>
        <w:rPr>
          <w:rFonts w:ascii="Times New Roman" w:hAnsi="Times New Roman"/>
          <w:szCs w:val="24"/>
        </w:rPr>
      </w:r>
    </w:p>
    <w:p>
      <w:pPr>
        <w:pStyle w:val="Normal"/>
        <w:pageBreakBefore/>
        <w:ind w:left="710" w:right="0" w:hanging="0"/>
        <w:jc w:val="center"/>
        <w:rPr>
          <w:b/>
        </w:rPr>
      </w:pPr>
      <w:r>
        <w:rPr>
          <w:b/>
        </w:rPr>
        <w:t>CHAPTER […]</w:t>
      </w:r>
    </w:p>
    <w:p>
      <w:pPr>
        <w:pStyle w:val="Normal"/>
        <w:ind w:left="710" w:right="0" w:hanging="0"/>
        <w:jc w:val="center"/>
        <w:rPr>
          <w:b/>
        </w:rPr>
      </w:pPr>
      <w:r>
        <w:rPr>
          <w:b/>
        </w:rPr>
        <w:t>MOVEMENT OF NATURAL PERSONS</w:t>
      </w:r>
    </w:p>
    <w:p>
      <w:pPr>
        <w:pStyle w:val="Normal"/>
        <w:rPr/>
      </w:pPr>
      <w:r>
        <w:rPr/>
      </w:r>
    </w:p>
    <w:p>
      <w:pPr>
        <w:pStyle w:val="Normal"/>
        <w:rPr/>
      </w:pPr>
      <w:r>
        <w:rPr/>
      </w:r>
    </w:p>
    <w:p>
      <w:pPr>
        <w:pStyle w:val="Normal"/>
        <w:jc w:val="center"/>
        <w:rPr>
          <w:b/>
        </w:rPr>
      </w:pPr>
      <w:r>
        <w:rPr>
          <w:b/>
        </w:rPr>
        <w:t>Article 1</w:t>
      </w:r>
    </w:p>
    <w:p>
      <w:pPr>
        <w:pStyle w:val="Normal"/>
        <w:jc w:val="center"/>
        <w:rPr>
          <w:b/>
        </w:rPr>
      </w:pPr>
      <w:r>
        <w:rPr>
          <w:b/>
        </w:rPr>
        <w:t>Objectives</w:t>
      </w:r>
    </w:p>
    <w:p>
      <w:pPr>
        <w:pStyle w:val="Normal"/>
        <w:jc w:val="center"/>
        <w:rPr>
          <w:b/>
        </w:rPr>
      </w:pPr>
      <w:r>
        <w:rPr>
          <w:b/>
        </w:rPr>
      </w:r>
    </w:p>
    <w:p>
      <w:pPr>
        <w:pStyle w:val="Normal"/>
        <w:spacing w:lineRule="auto" w:line="259" w:before="0" w:after="160"/>
        <w:rPr>
          <w:rFonts w:eastAsia="Calibri"/>
        </w:rPr>
      </w:pPr>
      <w:r>
        <w:rPr>
          <w:rFonts w:eastAsia="Calibri"/>
        </w:rPr>
        <w:t>1.</w:t>
        <w:tab/>
        <w:t>The objectives of this Chapter, which reflects the preferential trading relationship between the Parties, are to:</w:t>
      </w:r>
    </w:p>
    <w:p>
      <w:pPr>
        <w:pStyle w:val="Normal"/>
        <w:spacing w:lineRule="auto" w:line="259" w:before="0" w:after="160"/>
        <w:jc w:val="both"/>
        <w:rPr>
          <w:rFonts w:eastAsia="Calibri"/>
        </w:rPr>
      </w:pPr>
      <w:r>
        <w:rPr>
          <w:rFonts w:eastAsia="Calibri"/>
        </w:rPr>
        <w:t xml:space="preserve"> </w:t>
      </w:r>
      <w:r>
        <w:rPr>
          <w:rFonts w:eastAsia="Calibri"/>
        </w:rPr>
        <w:t xml:space="preserve">(a) provide for rights and obligations additional to those set out in Chapter X (Trade in Services) and Chapter X (Investment) in relation to the temporary entry of natural persons; </w:t>
      </w:r>
    </w:p>
    <w:p>
      <w:pPr>
        <w:pStyle w:val="Normal"/>
        <w:spacing w:lineRule="auto" w:line="259" w:before="0" w:after="160"/>
        <w:rPr>
          <w:rFonts w:eastAsia="Calibri"/>
        </w:rPr>
      </w:pPr>
      <w:r>
        <w:rPr>
          <w:rFonts w:eastAsia="Calibri"/>
        </w:rPr>
        <w:t>(b) facilitate the temporary entry of natural persons;</w:t>
      </w:r>
    </w:p>
    <w:p>
      <w:pPr>
        <w:pStyle w:val="Normal"/>
        <w:spacing w:lineRule="auto" w:line="259" w:before="0" w:after="160"/>
        <w:rPr>
          <w:rFonts w:eastAsia="Calibri"/>
        </w:rPr>
      </w:pPr>
      <w:r>
        <w:rPr>
          <w:rFonts w:eastAsia="Calibri"/>
        </w:rPr>
        <w:t xml:space="preserve">(c) establish transparent criteria and streamlined procedures for application for immigration formalities for the temporary entry of natural persons to whom this Chapter applies; and </w:t>
      </w:r>
    </w:p>
    <w:p>
      <w:pPr>
        <w:pStyle w:val="Normal"/>
        <w:spacing w:lineRule="auto" w:line="259" w:before="0" w:after="160"/>
        <w:rPr>
          <w:rFonts w:eastAsia="Calibri"/>
        </w:rPr>
      </w:pPr>
      <w:r>
        <w:rPr>
          <w:rFonts w:eastAsia="Calibri"/>
        </w:rPr>
        <w:t>(d) protect the integrity of the Parties’ borders and protect the domestic labour force and permanent employment in the territories of the Parties.</w:t>
      </w:r>
    </w:p>
    <w:p>
      <w:pPr>
        <w:pStyle w:val="Normal"/>
        <w:rPr/>
      </w:pPr>
      <w:r>
        <w:rPr/>
      </w:r>
    </w:p>
    <w:p>
      <w:pPr>
        <w:pStyle w:val="Normal"/>
        <w:jc w:val="center"/>
        <w:rPr>
          <w:b/>
        </w:rPr>
      </w:pPr>
      <w:r>
        <w:rPr>
          <w:b/>
        </w:rPr>
        <w:t>Article 2</w:t>
      </w:r>
    </w:p>
    <w:p>
      <w:pPr>
        <w:pStyle w:val="Normal"/>
        <w:jc w:val="center"/>
        <w:rPr>
          <w:b/>
        </w:rPr>
      </w:pPr>
      <w:r>
        <w:rPr>
          <w:b/>
        </w:rPr>
        <w:t>Scope</w:t>
      </w:r>
    </w:p>
    <w:p>
      <w:pPr>
        <w:pStyle w:val="Normal"/>
        <w:jc w:val="center"/>
        <w:rPr>
          <w:b/>
        </w:rPr>
      </w:pPr>
      <w:r>
        <w:rPr>
          <w:b/>
        </w:rPr>
      </w:r>
    </w:p>
    <w:p>
      <w:pPr>
        <w:pStyle w:val="Normal"/>
        <w:rPr/>
      </w:pPr>
      <w:r>
        <w:rPr/>
        <w:t>1.</w:t>
        <w:tab/>
        <w:t xml:space="preserve">This Chapter shall apply, as set out in each Party’s schedule of specific commitments in Annex MNP, to measures affecting the temporary entry of natural persons of a Party into the territory of the other Party.  Such persons may include: </w:t>
      </w:r>
    </w:p>
    <w:p>
      <w:pPr>
        <w:pStyle w:val="Normal"/>
        <w:rPr/>
      </w:pPr>
      <w:r>
        <w:rPr/>
        <w:t>-</w:t>
        <w:tab/>
        <w:t>Business visitors;</w:t>
      </w:r>
    </w:p>
    <w:p>
      <w:pPr>
        <w:pStyle w:val="Normal"/>
        <w:rPr/>
      </w:pPr>
      <w:r>
        <w:rPr/>
        <w:t>-</w:t>
        <w:tab/>
        <w:t>Intra-corporate transferees</w:t>
      </w:r>
    </w:p>
    <w:p>
      <w:pPr>
        <w:pStyle w:val="Normal"/>
        <w:rPr>
          <w:b/>
          <w:color w:val="FF0000"/>
        </w:rPr>
      </w:pPr>
      <w:r>
        <w:rPr/>
        <w:t>-</w:t>
        <w:tab/>
      </w:r>
      <w:r>
        <w:rPr>
          <w:b/>
          <w:color w:val="FF0000"/>
        </w:rPr>
        <w:t>[PIC/</w:t>
      </w:r>
      <w:r>
        <w:rPr>
          <w:b/>
          <w:color w:val="4F81BD"/>
        </w:rPr>
        <w:t>AU</w:t>
      </w:r>
      <w:r>
        <w:rPr>
          <w:b/>
          <w:color w:val="FF0000"/>
        </w:rPr>
        <w:t>: Contractual service suppliers]</w:t>
      </w:r>
    </w:p>
    <w:p>
      <w:pPr>
        <w:pStyle w:val="Normal"/>
        <w:rPr>
          <w:b/>
          <w:color w:val="FF0000"/>
        </w:rPr>
      </w:pPr>
      <w:r>
        <w:rPr/>
        <w:t>-</w:t>
        <w:tab/>
      </w:r>
      <w:r>
        <w:rPr>
          <w:b/>
          <w:color w:val="FF0000"/>
        </w:rPr>
        <w:t>[PIC: Skilled and semi-skilled workers]</w:t>
      </w:r>
    </w:p>
    <w:p>
      <w:pPr>
        <w:pStyle w:val="Normal"/>
        <w:rPr/>
      </w:pPr>
      <w:r>
        <w:rPr/>
        <w:t>-</w:t>
        <w:tab/>
        <w:t>Installers and servicers</w:t>
      </w:r>
    </w:p>
    <w:p>
      <w:pPr>
        <w:pStyle w:val="Normal"/>
        <w:rPr>
          <w:b/>
          <w:color w:val="FF0000"/>
        </w:rPr>
      </w:pPr>
      <w:r>
        <w:rPr/>
        <w:t>-</w:t>
        <w:tab/>
      </w:r>
      <w:r>
        <w:rPr>
          <w:b/>
          <w:color w:val="FF0000"/>
        </w:rPr>
        <w:t>[PICs: Management trainees on professional development]</w:t>
      </w:r>
    </w:p>
    <w:p>
      <w:pPr>
        <w:pStyle w:val="Normal"/>
        <w:rPr>
          <w:b/>
          <w:color w:val="FF0000"/>
        </w:rPr>
      </w:pPr>
      <w:r>
        <w:rPr>
          <w:b/>
          <w:color w:val="FF0000"/>
        </w:rPr>
        <w:t>-</w:t>
        <w:tab/>
        <w:t>[PICs/</w:t>
      </w:r>
      <w:r>
        <w:rPr>
          <w:b/>
          <w:color w:val="4F6228"/>
        </w:rPr>
        <w:t>NZ</w:t>
      </w:r>
      <w:r>
        <w:rPr>
          <w:b/>
          <w:color w:val="FF0000"/>
        </w:rPr>
        <w:t>: Independent service suppliers]</w:t>
      </w:r>
    </w:p>
    <w:p>
      <w:pPr>
        <w:pStyle w:val="Normal"/>
        <w:rPr/>
      </w:pPr>
      <w:r>
        <w:rPr/>
      </w:r>
    </w:p>
    <w:p>
      <w:pPr>
        <w:pStyle w:val="Normal"/>
        <w:jc w:val="both"/>
        <w:rPr/>
      </w:pPr>
      <w:r>
        <w:rPr/>
        <w:t xml:space="preserve">2. </w:t>
        <w:tab/>
        <w:t>This chapter shall not apply to measures affecting natural persons seeking access to the employment market of another Party, nor shall it apply to measures regarding citizenship, residence or employment on a permanent basis.</w:t>
      </w:r>
    </w:p>
    <w:p>
      <w:pPr>
        <w:pStyle w:val="Normal"/>
        <w:rPr/>
      </w:pPr>
      <w:r>
        <w:rPr/>
      </w:r>
    </w:p>
    <w:p>
      <w:pPr>
        <w:pStyle w:val="Normal"/>
        <w:jc w:val="both"/>
        <w:rPr/>
      </w:pPr>
      <w:r>
        <w:rPr/>
        <w:t xml:space="preserve">3.  </w:t>
        <w:tab/>
        <w:t>Nothing in this Agreement shall prevent a Party from applying measures to regulate the entry or temporary stay of natural persons of the other Party in its territory, including those measures necessary to protect the integrity of its territory and to ensure the orderly movement of natural persons across its borders, provided such measures are not applied in a manner so as to nullify or impair the benefits accruing to the other Party under this Agreement.</w:t>
      </w:r>
      <w:r>
        <w:rPr>
          <w:rStyle w:val="FootnoteAnchor"/>
        </w:rPr>
        <w:footnoteReference w:id="2"/>
      </w:r>
      <w:r>
        <w:rPr>
          <w:color w:val="000000"/>
          <w:vertAlign w:val="superscript"/>
        </w:rPr>
        <w:t>,</w:t>
      </w:r>
      <w:r>
        <w:rPr>
          <w:rStyle w:val="FootnoteAnchor"/>
          <w:color w:val="000000"/>
          <w:vertAlign w:val="superscript"/>
        </w:rPr>
        <w:footnoteReference w:id="3"/>
      </w:r>
      <w:r>
        <w:rPr/>
        <w:t xml:space="preserve">  </w:t>
      </w:r>
    </w:p>
    <w:p>
      <w:pPr>
        <w:pStyle w:val="Normal"/>
        <w:rPr/>
      </w:pPr>
      <w:r>
        <w:rPr/>
      </w:r>
    </w:p>
    <w:p>
      <w:pPr>
        <w:pStyle w:val="Normal"/>
        <w:spacing w:lineRule="auto" w:line="259"/>
        <w:jc w:val="center"/>
        <w:rPr>
          <w:rFonts w:eastAsia="Calibri"/>
          <w:b/>
        </w:rPr>
      </w:pPr>
      <w:r>
        <w:rPr>
          <w:rFonts w:eastAsia="Calibri"/>
          <w:b/>
        </w:rPr>
        <w:t xml:space="preserve">Article 3  </w:t>
      </w:r>
    </w:p>
    <w:p>
      <w:pPr>
        <w:pStyle w:val="Normal"/>
        <w:spacing w:lineRule="auto" w:line="259"/>
        <w:jc w:val="center"/>
        <w:rPr>
          <w:rFonts w:eastAsia="Calibri"/>
          <w:b/>
        </w:rPr>
      </w:pPr>
      <w:r>
        <w:rPr>
          <w:rFonts w:eastAsia="Calibri"/>
          <w:b/>
        </w:rPr>
        <w:t>Definitions</w:t>
      </w:r>
    </w:p>
    <w:p>
      <w:pPr>
        <w:pStyle w:val="Normal"/>
        <w:spacing w:lineRule="auto" w:line="259" w:before="0" w:after="160"/>
        <w:ind w:left="720" w:right="0" w:hanging="0"/>
        <w:contextualSpacing/>
        <w:jc w:val="both"/>
        <w:rPr>
          <w:rFonts w:eastAsia="Calibri"/>
          <w:b/>
          <w:color w:val="FF0000"/>
        </w:rPr>
      </w:pPr>
      <w:r>
        <w:rPr>
          <w:rFonts w:eastAsia="Calibri"/>
          <w:b/>
          <w:color w:val="FF0000"/>
        </w:rPr>
      </w:r>
    </w:p>
    <w:p>
      <w:pPr>
        <w:pStyle w:val="Normal"/>
        <w:spacing w:lineRule="auto" w:line="259" w:before="0" w:after="160"/>
        <w:jc w:val="both"/>
        <w:rPr>
          <w:rFonts w:eastAsia="Calibri"/>
          <w:b/>
        </w:rPr>
      </w:pPr>
      <w:r>
        <w:rPr>
          <w:rFonts w:eastAsia="Calibri"/>
          <w:b/>
        </w:rPr>
        <w:t>For the purposes of this Chapter:</w:t>
      </w:r>
    </w:p>
    <w:p>
      <w:pPr>
        <w:pStyle w:val="Normal"/>
        <w:spacing w:lineRule="auto" w:line="259" w:before="0" w:after="160"/>
        <w:ind w:left="720" w:right="0" w:hanging="0"/>
        <w:contextualSpacing/>
        <w:jc w:val="both"/>
        <w:rPr>
          <w:rFonts w:eastAsia="Calibri"/>
          <w:b/>
          <w:color w:val="FF0000"/>
        </w:rPr>
      </w:pPr>
      <w:r>
        <w:rPr>
          <w:rFonts w:eastAsia="Calibri"/>
          <w:b/>
          <w:color w:val="FF0000"/>
        </w:rPr>
      </w:r>
    </w:p>
    <w:p>
      <w:pPr>
        <w:pStyle w:val="Normal"/>
        <w:spacing w:lineRule="auto" w:line="259" w:before="0" w:after="160"/>
        <w:jc w:val="both"/>
        <w:rPr>
          <w:rFonts w:eastAsia="Calibri"/>
          <w:b/>
          <w:color w:val="FF0000"/>
        </w:rPr>
      </w:pPr>
      <w:r>
        <w:rPr>
          <w:rFonts w:eastAsia="Calibri"/>
        </w:rPr>
        <w:t>“</w:t>
      </w:r>
      <w:r>
        <w:rPr>
          <w:rFonts w:eastAsia="Calibri"/>
          <w:b/>
        </w:rPr>
        <w:t>Temporary entry</w:t>
      </w:r>
      <w:r>
        <w:rPr>
          <w:rFonts w:eastAsia="Calibri"/>
        </w:rPr>
        <w:t>” means entry by a natural person covered by this Chapter, without the intent to establish permanent residence;</w:t>
      </w:r>
      <w:r>
        <w:rPr>
          <w:rFonts w:eastAsia="Calibri"/>
          <w:b/>
          <w:color w:val="FF0000"/>
        </w:rPr>
        <w:t xml:space="preserve">[PICs: </w:t>
      </w:r>
      <w:r>
        <w:rPr>
          <w:rStyle w:val="FootnoteAnchor"/>
          <w:rFonts w:eastAsia="Calibri"/>
          <w:b/>
          <w:color w:val="FF0000"/>
        </w:rPr>
        <w:footnoteReference w:id="4"/>
      </w:r>
      <w:r>
        <w:rPr>
          <w:rFonts w:eastAsia="Calibri"/>
          <w:b/>
          <w:color w:val="FF0000"/>
        </w:rPr>
        <w:t>]</w:t>
      </w:r>
    </w:p>
    <w:p>
      <w:pPr>
        <w:pStyle w:val="Normal"/>
        <w:spacing w:lineRule="auto" w:line="259" w:before="0" w:after="160"/>
        <w:jc w:val="both"/>
        <w:rPr>
          <w:rFonts w:eastAsia="Calibri"/>
        </w:rPr>
      </w:pPr>
      <w:r>
        <w:rPr>
          <w:rFonts w:eastAsia="Calibri"/>
          <w:b/>
        </w:rPr>
        <w:t>“</w:t>
      </w:r>
      <w:r>
        <w:rPr>
          <w:rFonts w:eastAsia="Calibri"/>
          <w:b/>
        </w:rPr>
        <w:t>Immigration formality”</w:t>
      </w:r>
      <w:r>
        <w:rPr>
          <w:rFonts w:eastAsia="Calibri"/>
        </w:rPr>
        <w:t xml:space="preserve"> means a visa, permit, pass or other document or electronic authority granting a natural person of a Party the right to enter, reside or work in the territory of the granting Party”;</w:t>
      </w:r>
    </w:p>
    <w:p>
      <w:pPr>
        <w:pStyle w:val="Normal"/>
        <w:jc w:val="both"/>
        <w:rPr>
          <w:rStyle w:val="FootnoteAnchor"/>
          <w:rFonts w:eastAsia="CourierNewPSMT"/>
        </w:rPr>
      </w:pPr>
      <w:r>
        <w:rPr>
          <w:rFonts w:eastAsia="CourierNewPSMT"/>
          <w:b/>
        </w:rPr>
        <w:t>natural person of a Party</w:t>
      </w:r>
      <w:r>
        <w:rPr>
          <w:rFonts w:eastAsia="CourierNewPSMT"/>
        </w:rPr>
        <w:t xml:space="preserve"> means a natural person that possesses the nationality or citizenship of, or right of permanent resident, in that Party in accordance with its laws and regulations.</w:t>
      </w:r>
      <w:r>
        <w:rPr>
          <w:rStyle w:val="FootnoteAnchor"/>
          <w:rFonts w:eastAsia="CourierNewPSMT"/>
        </w:rPr>
        <w:footnoteReference w:id="5"/>
      </w:r>
    </w:p>
    <w:p>
      <w:pPr>
        <w:pStyle w:val="Normal"/>
        <w:rPr>
          <w:rFonts w:eastAsia="CourierNewPSMT"/>
        </w:rPr>
      </w:pPr>
      <w:r>
        <w:rPr>
          <w:rFonts w:eastAsia="CourierNewPSMT"/>
        </w:rPr>
      </w:r>
    </w:p>
    <w:p>
      <w:pPr>
        <w:pStyle w:val="Normal"/>
        <w:rPr>
          <w:rFonts w:eastAsia="CourierNewPSMT"/>
        </w:rPr>
      </w:pPr>
      <w:r>
        <w:rPr>
          <w:rFonts w:eastAsia="CourierNewPSMT"/>
        </w:rPr>
      </w:r>
    </w:p>
    <w:p>
      <w:pPr>
        <w:pStyle w:val="Normal"/>
        <w:spacing w:lineRule="auto" w:line="259" w:before="0" w:after="160"/>
        <w:contextualSpacing/>
        <w:jc w:val="center"/>
        <w:rPr>
          <w:rFonts w:eastAsia="Calibri"/>
          <w:b/>
        </w:rPr>
      </w:pPr>
      <w:r>
        <w:rPr>
          <w:rFonts w:eastAsia="Calibri"/>
          <w:b/>
        </w:rPr>
        <w:t>Article 4</w:t>
      </w:r>
    </w:p>
    <w:p>
      <w:pPr>
        <w:pStyle w:val="Normal"/>
        <w:spacing w:lineRule="auto" w:line="259" w:before="0" w:after="160"/>
        <w:contextualSpacing/>
        <w:jc w:val="center"/>
        <w:rPr>
          <w:rFonts w:eastAsia="Calibri"/>
          <w:b/>
        </w:rPr>
      </w:pPr>
      <w:r>
        <w:rPr>
          <w:rFonts w:eastAsia="Calibri"/>
          <w:b/>
        </w:rPr>
        <w:t>Grant of temporary entry</w:t>
      </w:r>
    </w:p>
    <w:p>
      <w:pPr>
        <w:pStyle w:val="Normal"/>
        <w:spacing w:lineRule="auto" w:line="259" w:before="0" w:after="160"/>
        <w:rPr>
          <w:rFonts w:eastAsia="Calibri"/>
        </w:rPr>
      </w:pPr>
      <w:r>
        <w:rPr>
          <w:rFonts w:eastAsia="Calibri"/>
        </w:rPr>
      </w:r>
    </w:p>
    <w:p>
      <w:pPr>
        <w:pStyle w:val="Normal"/>
        <w:spacing w:lineRule="auto" w:line="259" w:before="0" w:after="160"/>
        <w:jc w:val="both"/>
        <w:rPr>
          <w:rFonts w:eastAsia="Calibri"/>
        </w:rPr>
      </w:pPr>
      <w:r>
        <w:rPr>
          <w:rFonts w:eastAsia="Calibri"/>
        </w:rPr>
        <w:t>1.Each Party shall set out in Annex X</w:t>
      </w:r>
      <w:r>
        <w:rPr>
          <w:rFonts w:eastAsia="Calibri"/>
          <w:b/>
        </w:rPr>
        <w:t xml:space="preserve"> </w:t>
      </w:r>
      <w:r>
        <w:rPr>
          <w:rFonts w:eastAsia="Calibri"/>
        </w:rPr>
        <w:t>a schedule</w:t>
      </w:r>
      <w:r>
        <w:rPr>
          <w:rFonts w:eastAsia="Calibri"/>
          <w:b/>
        </w:rPr>
        <w:t xml:space="preserve"> </w:t>
      </w:r>
      <w:r>
        <w:rPr>
          <w:rFonts w:eastAsia="Calibri"/>
        </w:rPr>
        <w:t>containing the specific commitments it undertakes for each of the categories of natural persons specified therein. These schedules shall specify the conditions and limitations</w:t>
      </w:r>
      <w:r>
        <w:rPr>
          <w:rStyle w:val="FootnoteAnchor"/>
          <w:rFonts w:eastAsia="Calibri"/>
        </w:rPr>
        <w:footnoteReference w:id="6"/>
      </w:r>
      <w:r>
        <w:rPr>
          <w:rFonts w:eastAsia="Calibri"/>
        </w:rPr>
        <w:t xml:space="preserve"> governing those commitments, including the requirements and length of stay, for each category of natural persons included in each Party’s Schedule of specific commitments.</w:t>
      </w:r>
    </w:p>
    <w:p>
      <w:pPr>
        <w:pStyle w:val="Normal"/>
        <w:spacing w:lineRule="auto" w:line="259" w:before="0" w:after="160"/>
        <w:rPr>
          <w:rFonts w:eastAsia="Calibri"/>
        </w:rPr>
      </w:pPr>
      <w:r>
        <w:rPr>
          <w:rFonts w:eastAsia="Calibri"/>
        </w:rPr>
      </w:r>
    </w:p>
    <w:p>
      <w:pPr>
        <w:pStyle w:val="Normal"/>
        <w:spacing w:before="0" w:after="160"/>
        <w:jc w:val="both"/>
        <w:rPr>
          <w:rFonts w:eastAsia="Calibri"/>
        </w:rPr>
      </w:pPr>
      <w:r>
        <w:rPr>
          <w:rFonts w:eastAsia="Calibri"/>
        </w:rPr>
        <w:t xml:space="preserve">2. Where a Party makes a commitment under paragraph 1, that Party shall grant temporary entry to natural persons of another Party provided those natural persons: </w:t>
      </w:r>
    </w:p>
    <w:p>
      <w:pPr>
        <w:pStyle w:val="Normal"/>
        <w:spacing w:lineRule="auto" w:line="259" w:before="0" w:after="160"/>
        <w:rPr>
          <w:rFonts w:eastAsia="Calibri"/>
        </w:rPr>
      </w:pPr>
      <w:r>
        <w:rPr>
          <w:rFonts w:eastAsia="Calibri"/>
        </w:rPr>
        <w:t xml:space="preserve">(a) follow prescribed application procedures for the immigration formality sought; and </w:t>
      </w:r>
    </w:p>
    <w:p>
      <w:pPr>
        <w:pStyle w:val="Normal"/>
        <w:spacing w:lineRule="auto" w:line="259" w:before="0" w:after="160"/>
        <w:rPr>
          <w:rFonts w:eastAsia="Calibri"/>
        </w:rPr>
      </w:pPr>
      <w:r>
        <w:rPr>
          <w:rFonts w:eastAsia="Calibri"/>
        </w:rPr>
        <w:t xml:space="preserve">(b) meet all relevant eligibility requirements for entry to the granting Party. </w:t>
      </w:r>
    </w:p>
    <w:p>
      <w:pPr>
        <w:pStyle w:val="Normal"/>
        <w:spacing w:lineRule="auto" w:line="259" w:before="0" w:after="160"/>
        <w:rPr>
          <w:rFonts w:eastAsia="Calibri"/>
        </w:rPr>
      </w:pPr>
      <w:r>
        <w:rPr>
          <w:rFonts w:eastAsia="Calibri"/>
        </w:rPr>
        <w:t>A Party may deny temporary entry to natural persons of another Party that do not comply with Paragraph 2(a) and (b).</w:t>
      </w:r>
    </w:p>
    <w:p>
      <w:pPr>
        <w:pStyle w:val="Normal"/>
        <w:spacing w:lineRule="auto" w:line="259" w:before="0" w:after="160"/>
        <w:rPr>
          <w:rFonts w:eastAsia="Calibri"/>
        </w:rPr>
      </w:pPr>
      <w:r>
        <w:rPr>
          <w:rFonts w:eastAsia="Calibri"/>
        </w:rPr>
        <w:t xml:space="preserve">3. </w:t>
        <w:tab/>
        <w:t>Temporary entry granted pursuant to this Chapter does not replace the requirements needed to carry out a profession or activity according to the domestic laws and regulations, and any applicable mandatory codes of practice made pursuant to the domestic law, in force in the territory of the Party authorising the temporary entry.</w:t>
      </w:r>
    </w:p>
    <w:p>
      <w:pPr>
        <w:pStyle w:val="Normal"/>
        <w:rPr/>
      </w:pPr>
      <w:r>
        <w:rPr/>
      </w:r>
    </w:p>
    <w:p>
      <w:pPr>
        <w:pStyle w:val="Normal"/>
        <w:jc w:val="center"/>
        <w:rPr>
          <w:b/>
        </w:rPr>
      </w:pPr>
      <w:r>
        <w:rPr>
          <w:b/>
        </w:rPr>
        <w:t>Article 5</w:t>
      </w:r>
    </w:p>
    <w:p>
      <w:pPr>
        <w:pStyle w:val="Normal"/>
        <w:jc w:val="center"/>
        <w:rPr>
          <w:b/>
        </w:rPr>
      </w:pPr>
      <w:r>
        <w:rPr>
          <w:b/>
        </w:rPr>
        <w:t>Requirements and procedures relating to the movement of natural persons</w:t>
      </w:r>
    </w:p>
    <w:p>
      <w:pPr>
        <w:pStyle w:val="Normal"/>
        <w:rPr/>
      </w:pPr>
      <w:r>
        <w:rPr/>
      </w:r>
    </w:p>
    <w:p>
      <w:pPr>
        <w:pStyle w:val="Normal"/>
        <w:rPr/>
      </w:pPr>
      <w:r>
        <w:rPr/>
        <w:t xml:space="preserve">1. </w:t>
        <w:tab/>
        <w:t>In relation to the natural persons covered by Article 2 (Scope), each Party shall endeavour to:</w:t>
      </w:r>
    </w:p>
    <w:p>
      <w:pPr>
        <w:pStyle w:val="Normal"/>
        <w:rPr>
          <w:b/>
        </w:rPr>
      </w:pPr>
      <w:r>
        <w:rPr>
          <w:b/>
        </w:rPr>
      </w:r>
    </w:p>
    <w:p>
      <w:pPr>
        <w:pStyle w:val="Normal"/>
        <w:ind w:left="0" w:right="0" w:firstLine="720"/>
        <w:rPr/>
      </w:pPr>
      <w:r>
        <w:rPr/>
        <w:t>a. establish or maintain immigration formalities, which can be granted prior to arrival in its territory, to allow natural persons of another Party entry into and temporary stay in its territory;</w:t>
      </w:r>
    </w:p>
    <w:p>
      <w:pPr>
        <w:pStyle w:val="Normal"/>
        <w:ind w:left="0" w:right="0" w:firstLine="720"/>
        <w:rPr>
          <w:b/>
          <w:color w:val="FF0000"/>
        </w:rPr>
      </w:pPr>
      <w:r>
        <w:rPr>
          <w:b/>
          <w:color w:val="FF0000"/>
        </w:rPr>
      </w:r>
    </w:p>
    <w:p>
      <w:pPr>
        <w:pStyle w:val="Normal"/>
        <w:ind w:left="0" w:right="0" w:firstLine="720"/>
        <w:rPr>
          <w:b/>
        </w:rPr>
      </w:pPr>
      <w:r>
        <w:rPr/>
        <w:t>b. expeditiously process complete applications for immigration formalities received from natural persons of another Party, including further immigration formality requests or extensions thereof;</w:t>
      </w:r>
      <w:r>
        <w:rPr>
          <w:b/>
        </w:rPr>
        <w:t xml:space="preserve"> </w:t>
      </w:r>
    </w:p>
    <w:p>
      <w:pPr>
        <w:pStyle w:val="Normal"/>
        <w:ind w:left="0" w:right="0" w:firstLine="720"/>
        <w:rPr>
          <w:b/>
          <w:color w:val="FF0000"/>
        </w:rPr>
      </w:pPr>
      <w:r>
        <w:rPr>
          <w:b/>
          <w:color w:val="FF0000"/>
        </w:rPr>
      </w:r>
    </w:p>
    <w:p>
      <w:pPr>
        <w:pStyle w:val="Normal"/>
        <w:ind w:left="0" w:right="0" w:firstLine="720"/>
        <w:rPr/>
      </w:pPr>
      <w:r>
        <w:rPr/>
        <w:t>c. on request and within a reasonable period after application by a natural person of another Party requesting temporary entry is lodged, notify the applicant of:</w:t>
      </w:r>
    </w:p>
    <w:p>
      <w:pPr>
        <w:pStyle w:val="Normal"/>
        <w:ind w:left="720" w:right="0" w:hanging="0"/>
        <w:rPr/>
      </w:pPr>
      <w:r>
        <w:rPr/>
      </w:r>
    </w:p>
    <w:p>
      <w:pPr>
        <w:pStyle w:val="Normal"/>
        <w:ind w:left="720" w:right="0" w:hanging="0"/>
        <w:rPr/>
      </w:pPr>
      <w:r>
        <w:rPr/>
        <w:t>i.</w:t>
        <w:tab/>
        <w:t xml:space="preserve">Receipt of the application;  </w:t>
      </w:r>
    </w:p>
    <w:p>
      <w:pPr>
        <w:pStyle w:val="Normal"/>
        <w:ind w:left="720" w:right="0" w:hanging="0"/>
        <w:rPr/>
      </w:pPr>
      <w:r>
        <w:rPr/>
        <w:t>ii.</w:t>
        <w:tab/>
        <w:t>The status of the application; and</w:t>
      </w:r>
    </w:p>
    <w:p>
      <w:pPr>
        <w:pStyle w:val="Normal"/>
        <w:ind w:left="720" w:right="0" w:hanging="0"/>
        <w:rPr/>
      </w:pPr>
      <w:r>
        <w:rPr/>
        <w:t>iii.</w:t>
        <w:tab/>
        <w:t>The decision concerning the application, including:</w:t>
      </w:r>
    </w:p>
    <w:p>
      <w:pPr>
        <w:pStyle w:val="Normal"/>
        <w:ind w:left="720" w:right="0" w:hanging="0"/>
        <w:rPr/>
      </w:pPr>
      <w:r>
        <w:rPr/>
        <w:t>iv.</w:t>
        <w:tab/>
        <w:t>If approved, the period of stay and other conditions; or</w:t>
      </w:r>
    </w:p>
    <w:p>
      <w:pPr>
        <w:pStyle w:val="Normal"/>
        <w:ind w:left="720" w:right="0" w:hanging="0"/>
        <w:rPr/>
      </w:pPr>
      <w:r>
        <w:rPr/>
        <w:t>v.</w:t>
        <w:tab/>
        <w:t>If refused, the reasons for refusal and any avenues for review.</w:t>
      </w:r>
    </w:p>
    <w:p>
      <w:pPr>
        <w:pStyle w:val="Normal"/>
        <w:rPr>
          <w:b/>
        </w:rPr>
      </w:pPr>
      <w:r>
        <w:rPr>
          <w:b/>
        </w:rPr>
      </w:r>
    </w:p>
    <w:p>
      <w:pPr>
        <w:pStyle w:val="Normal"/>
        <w:rPr>
          <w:b/>
        </w:rPr>
      </w:pPr>
      <w:r>
        <w:rPr>
          <w:b/>
        </w:rPr>
      </w:r>
    </w:p>
    <w:p>
      <w:pPr>
        <w:pStyle w:val="Normal"/>
        <w:jc w:val="center"/>
        <w:rPr>
          <w:b/>
          <w:color w:val="FF0000"/>
        </w:rPr>
      </w:pPr>
      <w:r>
        <w:rPr>
          <w:b/>
          <w:color w:val="FF0000"/>
        </w:rPr>
      </w:r>
    </w:p>
    <w:p>
      <w:pPr>
        <w:pStyle w:val="Normal"/>
        <w:jc w:val="center"/>
        <w:rPr>
          <w:b/>
          <w:color w:val="000000"/>
        </w:rPr>
      </w:pPr>
      <w:r>
        <w:rPr>
          <w:b/>
          <w:color w:val="000000"/>
        </w:rPr>
        <w:t>Article 6</w:t>
      </w:r>
    </w:p>
    <w:p>
      <w:pPr>
        <w:pStyle w:val="Normal"/>
        <w:jc w:val="center"/>
        <w:rPr>
          <w:b/>
          <w:color w:val="000000"/>
        </w:rPr>
      </w:pPr>
      <w:r>
        <w:rPr>
          <w:b/>
          <w:color w:val="000000"/>
        </w:rPr>
        <w:t>Mutual Recognition</w:t>
      </w:r>
    </w:p>
    <w:p>
      <w:pPr>
        <w:pStyle w:val="Normal"/>
        <w:rPr>
          <w:b/>
          <w:color w:val="FF0000"/>
        </w:rPr>
      </w:pPr>
      <w:r>
        <w:rPr>
          <w:b/>
          <w:color w:val="FF0000"/>
        </w:rPr>
      </w:r>
    </w:p>
    <w:p>
      <w:pPr>
        <w:pStyle w:val="Normal"/>
        <w:ind w:left="0" w:right="0" w:firstLine="720"/>
        <w:jc w:val="both"/>
        <w:rPr>
          <w:color w:val="000000"/>
          <w:lang w:eastAsia="en-US"/>
        </w:rPr>
      </w:pPr>
      <w:r>
        <w:rPr>
          <w:color w:val="000000"/>
          <w:lang w:eastAsia="en-US"/>
        </w:rPr>
        <w:t xml:space="preserve">Where the requirements for an immigration formality include requirements relating to authorisation, licensing or certification of natural persons, Article 11 of the Chapter [X] on Trade in Services shall apply, </w:t>
      </w:r>
      <w:r>
        <w:rPr>
          <w:i/>
          <w:color w:val="000000"/>
          <w:lang w:eastAsia="en-US"/>
        </w:rPr>
        <w:t>mutatis mutandis</w:t>
      </w:r>
      <w:r>
        <w:rPr>
          <w:color w:val="000000"/>
          <w:lang w:eastAsia="en-US"/>
        </w:rPr>
        <w:t>, to such authorisation, licensing or certification, but that obligation shall only apply to a Party in relation to the commitments they have made under Article 4.</w:t>
      </w:r>
    </w:p>
    <w:p>
      <w:pPr>
        <w:pStyle w:val="Normal"/>
        <w:jc w:val="both"/>
        <w:rPr>
          <w:b/>
          <w:color w:val="FF0000"/>
        </w:rPr>
      </w:pPr>
      <w:r>
        <w:rPr>
          <w:b/>
          <w:color w:val="FF0000"/>
        </w:rPr>
      </w:r>
    </w:p>
    <w:p>
      <w:pPr>
        <w:pStyle w:val="Normal"/>
        <w:rPr>
          <w:b/>
        </w:rPr>
      </w:pPr>
      <w:r>
        <w:rPr>
          <w:b/>
        </w:rPr>
      </w:r>
    </w:p>
    <w:p>
      <w:pPr>
        <w:pStyle w:val="Normal"/>
        <w:jc w:val="center"/>
        <w:rPr>
          <w:b/>
          <w:color w:val="4F81BD"/>
        </w:rPr>
      </w:pPr>
      <w:r>
        <w:rPr>
          <w:b/>
        </w:rPr>
        <w:t>Article 7</w:t>
      </w:r>
      <w:r>
        <w:rPr>
          <w:b/>
          <w:color w:val="4F81BD"/>
        </w:rPr>
        <w:t xml:space="preserve"> </w:t>
      </w:r>
    </w:p>
    <w:p>
      <w:pPr>
        <w:pStyle w:val="Normal"/>
        <w:jc w:val="center"/>
        <w:rPr>
          <w:b/>
        </w:rPr>
      </w:pPr>
      <w:r>
        <w:rPr>
          <w:b/>
        </w:rPr>
        <w:t>Contact Points</w:t>
      </w:r>
    </w:p>
    <w:p>
      <w:pPr>
        <w:pStyle w:val="Normal"/>
        <w:rPr/>
      </w:pPr>
      <w:r>
        <w:rPr/>
      </w:r>
    </w:p>
    <w:p>
      <w:pPr>
        <w:pStyle w:val="Normal"/>
        <w:ind w:left="0" w:right="0" w:firstLine="720"/>
        <w:rPr/>
      </w:pPr>
      <w:r>
        <w:rPr/>
        <w:t>Each Party shall designate a contact point to facilitate communications between the Parties on any matter covered by this Chapter, and shall provide details of such contact point to the other Parties. The Parties shall notify each other promptly of any amendments to the details of their contact point.</w:t>
      </w:r>
    </w:p>
    <w:p>
      <w:pPr>
        <w:pStyle w:val="Normal"/>
        <w:rPr>
          <w:b/>
        </w:rPr>
      </w:pPr>
      <w:r>
        <w:rPr>
          <w:b/>
        </w:rPr>
      </w:r>
    </w:p>
    <w:p>
      <w:pPr>
        <w:pStyle w:val="Normal"/>
        <w:rPr>
          <w:b/>
        </w:rPr>
      </w:pPr>
      <w:r>
        <w:rPr>
          <w:b/>
        </w:rPr>
      </w:r>
    </w:p>
    <w:p>
      <w:pPr>
        <w:pStyle w:val="Normal"/>
        <w:jc w:val="center"/>
        <w:rPr>
          <w:b/>
        </w:rPr>
      </w:pPr>
      <w:r>
        <w:rPr>
          <w:b/>
        </w:rPr>
        <w:t xml:space="preserve">Article 8 </w:t>
      </w:r>
    </w:p>
    <w:p>
      <w:pPr>
        <w:pStyle w:val="Normal"/>
        <w:jc w:val="center"/>
        <w:rPr>
          <w:b/>
          <w:color w:val="000000"/>
        </w:rPr>
      </w:pPr>
      <w:r>
        <w:rPr>
          <w:b/>
          <w:color w:val="000000"/>
        </w:rPr>
        <w:t>Application of Chapter X (Consultations and Dispute Settlement)</w:t>
      </w:r>
    </w:p>
    <w:p>
      <w:pPr>
        <w:pStyle w:val="Normal"/>
        <w:rPr>
          <w:b/>
        </w:rPr>
      </w:pPr>
      <w:r>
        <w:rPr>
          <w:b/>
        </w:rPr>
      </w:r>
    </w:p>
    <w:p>
      <w:pPr>
        <w:pStyle w:val="Normal"/>
        <w:spacing w:lineRule="auto" w:line="259" w:before="0" w:after="160"/>
        <w:rPr>
          <w:rFonts w:eastAsia="Calibri"/>
        </w:rPr>
      </w:pPr>
      <w:r>
        <w:rPr>
          <w:rFonts w:eastAsia="Calibri"/>
        </w:rPr>
        <w:t xml:space="preserve">1. </w:t>
        <w:tab/>
        <w:t>The Parties shall endeavour to settle any differences arising out of the implementation of this Chapter through consultations.</w:t>
      </w:r>
    </w:p>
    <w:p>
      <w:pPr>
        <w:pStyle w:val="Normal"/>
        <w:spacing w:lineRule="auto" w:line="259" w:before="0" w:after="160"/>
        <w:jc w:val="both"/>
        <w:rPr>
          <w:rFonts w:eastAsia="Calibri"/>
          <w:color w:val="000000"/>
        </w:rPr>
      </w:pPr>
      <w:r>
        <w:rPr>
          <w:rFonts w:eastAsia="Calibri"/>
          <w:color w:val="000000"/>
        </w:rPr>
        <w:t xml:space="preserve">2. </w:t>
        <w:tab/>
        <w:t>A Party shall not have recourse to Chapter X (Consultations and Dispute Settlement) regarding a refusal to grant temporary entry under this Chapter unless:</w:t>
      </w:r>
    </w:p>
    <w:p>
      <w:pPr>
        <w:pStyle w:val="Normal"/>
        <w:spacing w:lineRule="auto" w:line="259" w:before="0" w:after="160"/>
        <w:contextualSpacing/>
        <w:jc w:val="both"/>
        <w:rPr>
          <w:rFonts w:eastAsia="Calibri"/>
          <w:color w:val="000000"/>
        </w:rPr>
      </w:pPr>
      <w:r>
        <w:rPr>
          <w:rFonts w:eastAsia="Calibri"/>
          <w:color w:val="000000"/>
        </w:rPr>
        <w:t>(a) the matter involves a pattern of practice on the part of the granting Party; and</w:t>
      </w:r>
    </w:p>
    <w:p>
      <w:pPr>
        <w:pStyle w:val="Normal"/>
        <w:spacing w:lineRule="auto" w:line="259" w:before="0" w:after="160"/>
        <w:contextualSpacing/>
        <w:jc w:val="both"/>
        <w:rPr>
          <w:rFonts w:eastAsia="Calibri"/>
          <w:color w:val="000000"/>
        </w:rPr>
      </w:pPr>
      <w:r>
        <w:rPr>
          <w:rFonts w:eastAsia="Calibri"/>
          <w:color w:val="000000"/>
        </w:rPr>
      </w:r>
    </w:p>
    <w:p>
      <w:pPr>
        <w:pStyle w:val="Normal"/>
        <w:spacing w:lineRule="auto" w:line="259" w:before="0" w:after="160"/>
        <w:contextualSpacing/>
        <w:jc w:val="both"/>
        <w:rPr>
          <w:rFonts w:eastAsia="Calibri"/>
          <w:color w:val="000000"/>
        </w:rPr>
      </w:pPr>
      <w:r>
        <w:rPr>
          <w:rFonts w:eastAsia="Calibri"/>
          <w:color w:val="000000"/>
        </w:rPr>
        <w:t>(b) the natural persons affected have exhausted all available domestic remedies regarding the particular matters.</w:t>
      </w:r>
    </w:p>
    <w:p>
      <w:pPr>
        <w:pStyle w:val="Normal"/>
        <w:spacing w:lineRule="auto" w:line="259" w:before="0" w:after="160"/>
        <w:contextualSpacing/>
        <w:jc w:val="both"/>
        <w:rPr>
          <w:rFonts w:eastAsia="Calibri"/>
          <w:color w:val="000000"/>
        </w:rPr>
      </w:pPr>
      <w:r>
        <w:rPr>
          <w:rFonts w:eastAsia="Calibri"/>
          <w:color w:val="000000"/>
        </w:rPr>
      </w:r>
    </w:p>
    <w:p>
      <w:pPr>
        <w:pStyle w:val="Normal"/>
        <w:spacing w:lineRule="auto" w:line="259" w:before="0" w:after="160"/>
        <w:contextualSpacing/>
        <w:jc w:val="both"/>
        <w:rPr>
          <w:rFonts w:eastAsia="Calibri"/>
          <w:color w:val="000000"/>
          <w:lang w:eastAsia="en-US"/>
        </w:rPr>
      </w:pPr>
      <w:r>
        <w:rPr>
          <w:rFonts w:eastAsia="Calibri"/>
          <w:color w:val="000000"/>
          <w:lang w:eastAsia="en-US"/>
        </w:rPr>
        <w:t xml:space="preserve">3.  </w:t>
        <w:tab/>
        <w:t>The remedies referred to in subparagraph 2(b) shall be deemed to be exhausted if a final determination in the matter has not been issued within one year after the date of the institution of proceedings for such remedy, and the failure to issue such a determination is not attributable to delays caused by the natural persons concerned.</w:t>
      </w:r>
    </w:p>
    <w:p>
      <w:pPr>
        <w:pStyle w:val="Normal"/>
        <w:spacing w:lineRule="auto" w:line="259" w:before="0" w:after="160"/>
        <w:contextualSpacing/>
        <w:jc w:val="both"/>
        <w:rPr>
          <w:rFonts w:eastAsia="Calibri"/>
          <w:color w:val="000000"/>
          <w:lang w:eastAsia="en-US"/>
        </w:rPr>
      </w:pPr>
      <w:r>
        <w:rPr>
          <w:rFonts w:eastAsia="Calibri"/>
          <w:color w:val="000000"/>
          <w:lang w:eastAsia="en-US"/>
        </w:rPr>
      </w:r>
    </w:p>
    <w:p>
      <w:pPr>
        <w:pStyle w:val="Normal"/>
        <w:spacing w:lineRule="auto" w:line="259" w:before="0" w:after="160"/>
        <w:contextualSpacing/>
        <w:jc w:val="both"/>
        <w:rPr>
          <w:rFonts w:eastAsia="Calibri"/>
          <w:color w:val="000000"/>
        </w:rPr>
      </w:pPr>
      <w:r>
        <w:rPr>
          <w:rFonts w:eastAsia="Calibri"/>
          <w:color w:val="000000"/>
        </w:rPr>
      </w:r>
    </w:p>
    <w:p>
      <w:pPr>
        <w:pStyle w:val="Normal"/>
        <w:rPr>
          <w:b/>
        </w:rPr>
      </w:pPr>
      <w:r>
        <w:rPr>
          <w:b/>
        </w:rPr>
      </w:r>
    </w:p>
    <w:p>
      <w:pPr>
        <w:pStyle w:val="Normal"/>
        <w:jc w:val="center"/>
        <w:rPr>
          <w:rFonts w:eastAsia="Calibri"/>
          <w:b/>
        </w:rPr>
      </w:pPr>
      <w:r>
        <w:rPr>
          <w:rFonts w:eastAsia="Calibri"/>
          <w:b/>
        </w:rPr>
        <w:t>Article 9</w:t>
      </w:r>
    </w:p>
    <w:p>
      <w:pPr>
        <w:pStyle w:val="Normal"/>
        <w:jc w:val="center"/>
        <w:rPr>
          <w:rFonts w:eastAsia="Calibri"/>
          <w:b/>
        </w:rPr>
      </w:pPr>
      <w:r>
        <w:rPr>
          <w:rFonts w:eastAsia="Calibri"/>
          <w:b/>
        </w:rPr>
        <w:t>Review of Commitments</w:t>
      </w:r>
    </w:p>
    <w:p>
      <w:pPr>
        <w:pStyle w:val="Normal"/>
        <w:jc w:val="center"/>
        <w:rPr>
          <w:rFonts w:eastAsia="Calibri"/>
        </w:rPr>
      </w:pPr>
      <w:r>
        <w:rPr>
          <w:rFonts w:eastAsia="Calibri"/>
        </w:rPr>
      </w:r>
    </w:p>
    <w:p>
      <w:pPr>
        <w:pStyle w:val="Normal"/>
        <w:spacing w:lineRule="auto" w:line="259" w:before="0" w:after="160"/>
        <w:ind w:left="0" w:right="0" w:firstLine="720"/>
        <w:jc w:val="both"/>
        <w:rPr>
          <w:rFonts w:eastAsia="Calibri"/>
        </w:rPr>
      </w:pPr>
      <w:r>
        <w:rPr>
          <w:rFonts w:eastAsia="Calibri"/>
        </w:rPr>
        <w:t>The Parties shall review commitments for the temporary entry of natural persons, with the first review within three years of entry into force of the Agreement and periodically thereafter as determined by the Joint Committee, with the aim of improving the overall commitments undertaken by the Parties under this Chapter so as to progressively liberalise the movement of natural persons among the Parties.</w:t>
      </w:r>
    </w:p>
    <w:p>
      <w:pPr>
        <w:pStyle w:val="Normal"/>
        <w:rPr>
          <w:b/>
        </w:rPr>
      </w:pPr>
      <w:r>
        <w:rPr>
          <w:b/>
        </w:rPr>
      </w:r>
    </w:p>
    <w:p>
      <w:pPr>
        <w:pStyle w:val="Normal"/>
        <w:jc w:val="center"/>
        <w:rPr>
          <w:b/>
          <w:sz w:val="32"/>
          <w:szCs w:val="32"/>
        </w:rPr>
      </w:pPr>
      <w:r>
        <w:rPr>
          <w:b/>
          <w:sz w:val="32"/>
          <w:szCs w:val="32"/>
        </w:rPr>
        <w:t>__________________</w:t>
      </w:r>
    </w:p>
    <w:sectPr>
      <w:headerReference w:type="default" r:id="rId4"/>
      <w:footerReference w:type="default" r:id="rId5"/>
      <w:footnotePr>
        <w:numFmt w:val="decimal"/>
      </w:footnotePr>
      <w:type w:val="nextPage"/>
      <w:pgSz w:w="11906" w:h="16838"/>
      <w:pgMar w:left="1440" w:right="1440" w:header="709" w:top="1440" w:footer="709" w:bottom="1440" w:gutter="0"/>
      <w:pgNumType w:start="1"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Cambria">
    <w:charset w:val="01"/>
    <w:family w:val="swiss"/>
    <w:pitch w:val="default"/>
  </w:font>
  <w:font w:name="Tahoma">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spacing w:before="120" w:after="0"/>
      <w:ind w:left="-284" w:right="-284" w:hanging="0"/>
      <w:jc w:val="center"/>
      <w:rPr>
        <w:b/>
      </w:rPr>
    </w:pPr>
    <w:r>
      <w:rPr>
        <w:b/>
      </w:rPr>
    </w:r>
  </w:p>
  <w:p>
    <w:pPr>
      <w:pStyle w:val="Header"/>
      <w:ind w:left="-284" w:right="-284" w:hanging="0"/>
      <w:jc w:val="center"/>
      <w:rPr>
        <w:b/>
      </w:rPr>
    </w:pPr>
    <w:r>
      <w:rPr>
        <w:b/>
      </w:rPr>
    </w:r>
  </w:p>
  <w:p>
    <w:pPr>
      <w:pStyle w:val="Header"/>
      <w:ind w:left="-284" w:right="-284" w:hanging="0"/>
      <w:jc w:val="cen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spacing w:before="120" w:after="0"/>
      <w:ind w:left="-284" w:right="-284" w:hanging="0"/>
      <w:jc w:val="center"/>
      <w:rPr>
        <w:b/>
      </w:rPr>
    </w:pPr>
    <w:r>
      <w:rPr>
        <w:b/>
      </w:rPr>
    </w:r>
  </w:p>
  <w:p>
    <w:pPr>
      <w:pStyle w:val="Header"/>
      <w:ind w:left="-284" w:right="-284" w:hanging="0"/>
      <w:jc w:val="center"/>
      <w:rPr>
        <w:b/>
      </w:rPr>
    </w:pPr>
    <w:r>
      <w:rPr>
        <w:b/>
      </w:rPr>
    </w:r>
  </w:p>
  <w:p>
    <w:pPr>
      <w:pStyle w:val="Header"/>
      <w:ind w:left="-284" w:right="-284" w:hanging="0"/>
      <w:jc w:val="right"/>
      <w:rPr/>
    </w:pPr>
    <w:r>
      <w:rPr/>
      <w:t xml:space="preserve">Page </w:t>
    </w:r>
    <w:r>
      <w:rPr/>
      <w:fldChar w:fldCharType="begin"/>
    </w:r>
    <w:r>
      <w:instrText> PAGE </w:instrText>
    </w:r>
    <w:r>
      <w:fldChar w:fldCharType="separate"/>
    </w:r>
    <w:r>
      <w:t>5</w:t>
    </w:r>
    <w:r>
      <w:fldChar w:fldCharType="end"/>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
        <w:rPr/>
      </w:pPr>
      <w:r>
        <w:rPr/>
        <w:footnoteRef/>
        <w:tab/>
      </w:r>
      <w:r>
        <w:rPr/>
        <w:t xml:space="preserve">The sole fact of requiring a visa for natural persons of a Party and not for those of non-Parties shall not be regarded as nullifying or impairing trade in goods or services or conduct of investment activities under this Agreement.  </w:t>
      </w:r>
    </w:p>
    <w:p>
      <w:pPr>
        <w:pStyle w:val="Footnote"/>
        <w:rPr/>
      </w:pPr>
      <w:r>
        <w:rPr/>
      </w:r>
    </w:p>
  </w:footnote>
  <w:footnote w:id="3">
    <w:p>
      <w:pPr>
        <w:pStyle w:val="Footnote"/>
        <w:rPr>
          <w:lang w:val="en-US"/>
        </w:rPr>
      </w:pPr>
      <w:r>
        <w:rPr/>
        <w:footnoteRef/>
        <w:tab/>
        <w:t xml:space="preserve"> </w:t>
      </w:r>
      <w:r>
        <w:rPr>
          <w:lang w:val="en-US"/>
        </w:rPr>
        <w:t>Australia to reflect</w:t>
      </w:r>
    </w:p>
    <w:p>
      <w:pPr>
        <w:pStyle w:val="Footnote"/>
        <w:rPr/>
      </w:pPr>
      <w:r>
        <w:rPr/>
      </w:r>
    </w:p>
  </w:footnote>
  <w:footnote w:id="4">
    <w:p>
      <w:pPr>
        <w:pStyle w:val="Footnote"/>
        <w:rPr>
          <w:b/>
          <w:color w:val="FF0000"/>
        </w:rPr>
      </w:pPr>
      <w:r>
        <w:rPr/>
        <w:footnoteRef/>
        <w:tab/>
      </w:r>
      <w:r>
        <w:rPr>
          <w:b/>
          <w:color w:val="FF0000"/>
        </w:rPr>
        <w:t>[The temporary entry of natural persons covered by this Chapter may include, where relevant, temporary employment entry.]</w:t>
      </w:r>
    </w:p>
    <w:p>
      <w:pPr>
        <w:pStyle w:val="Footnote"/>
        <w:rPr/>
      </w:pPr>
      <w:r>
        <w:rPr/>
      </w:r>
    </w:p>
  </w:footnote>
  <w:footnote w:id="5">
    <w:p>
      <w:pPr>
        <w:pStyle w:val="Footnotetext"/>
        <w:numPr>
          <w:ilvl w:val="0"/>
          <w:numId w:val="2"/>
        </w:numPr>
        <w:spacing w:before="0" w:after="0"/>
        <w:ind w:left="720" w:right="0" w:hanging="360"/>
        <w:contextualSpacing/>
        <w:jc w:val="left"/>
        <w:rPr/>
      </w:pPr>
      <w:r>
        <w:rPr/>
        <w:footnoteRef/>
        <w:tab/>
        <w:t xml:space="preserve"> </w:t>
      </w:r>
      <w:r>
        <w:rPr/>
        <w:t>[For the purposes of this Agreement, For the Cook Islands, nationality means a “Cook Islander” as defined under the national constitution of the Cook Islands; and</w:t>
      </w:r>
    </w:p>
    <w:p>
      <w:pPr>
        <w:pStyle w:val="Footnotetext"/>
        <w:numPr>
          <w:ilvl w:val="0"/>
          <w:numId w:val="2"/>
        </w:numPr>
        <w:spacing w:before="0" w:after="0"/>
        <w:ind w:left="720" w:right="0" w:hanging="360"/>
        <w:contextualSpacing/>
        <w:jc w:val="left"/>
        <w:rPr/>
      </w:pPr>
      <w:r>
        <w:rPr/>
        <w:tab/>
        <w:t>For Niue, a natural person is a Niuean national or permanent resident.]</w:t>
      </w:r>
    </w:p>
    <w:p>
      <w:pPr>
        <w:pStyle w:val="Footnote"/>
        <w:rPr/>
      </w:pPr>
      <w:r>
        <w:rPr/>
      </w:r>
    </w:p>
    <w:p>
      <w:pPr>
        <w:pStyle w:val="Footnote"/>
        <w:rPr/>
      </w:pPr>
      <w:r>
        <w:rPr/>
      </w:r>
    </w:p>
  </w:footnote>
  <w:footnote w:id="6">
    <w:p>
      <w:pPr>
        <w:pStyle w:val="Footnote"/>
        <w:rPr>
          <w:lang w:val="en-US"/>
        </w:rPr>
      </w:pPr>
      <w:r>
        <w:rPr/>
        <w:footnoteRef/>
        <w:tab/>
      </w:r>
      <w:r>
        <w:rPr>
          <w:lang w:val="en-US"/>
        </w:rPr>
        <w:t xml:space="preserve">  </w:t>
      </w:r>
      <w:r>
        <w:rPr>
          <w:lang w:val="en-US"/>
        </w:rPr>
        <w:t xml:space="preserve">For greater certainty, the terms ‘conditions and limitations’ include limitations on the total number of visas or the requirement of a labour market test.  </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spacing w:before="120" w:after="0"/>
      <w:ind w:left="-284" w:right="-284" w:hanging="0"/>
      <w:rPr>
        <w:b/>
      </w:rPr>
    </w:pPr>
    <w:r>
      <w:rPr>
        <w:b/>
      </w:rPr>
      <w:t>FOR OFFICIAL USE ONLY</w:t>
      <w:br/>
    </w:r>
  </w:p>
  <w:p>
    <w:pPr>
      <w:pStyle w:val="Header"/>
      <w:pBdr>
        <w:top w:val="nil"/>
        <w:left w:val="nil"/>
        <w:bottom w:val="single" w:sz="12" w:space="1" w:color="00000A"/>
        <w:right w:val="nil"/>
      </w:pBdr>
      <w:spacing w:before="120" w:after="0"/>
      <w:ind w:left="-284" w:right="-284" w:hanging="0"/>
      <w:jc w:val="center"/>
      <w:rPr/>
    </w:pPr>
    <w:r>
      <w:rPr/>
    </w:r>
  </w:p>
  <w:p>
    <w:pPr>
      <w:pStyle w:val="Header"/>
      <w:spacing w:before="120" w:after="0"/>
      <w:ind w:left="-284" w:right="-284" w:hanging="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spacing w:before="120" w:after="0"/>
      <w:ind w:left="-284" w:right="-284" w:hanging="0"/>
      <w:rPr>
        <w:b/>
      </w:rPr>
    </w:pPr>
    <w:r>
      <w:rPr>
        <w:b/>
      </w:rPr>
      <w:t>FOR OFFICIAL USE ONLY</w:t>
      <w:br/>
    </w:r>
  </w:p>
  <w:p>
    <w:pPr>
      <w:pStyle w:val="Header"/>
      <w:pBdr>
        <w:top w:val="nil"/>
        <w:left w:val="nil"/>
        <w:bottom w:val="single" w:sz="12" w:space="1" w:color="00000A"/>
        <w:right w:val="nil"/>
      </w:pBdr>
      <w:spacing w:before="120" w:after="0"/>
      <w:ind w:left="-284" w:right="-284" w:hanging="0"/>
      <w:jc w:val="center"/>
      <w:rPr/>
    </w:pPr>
    <w:r>
      <w:rPr/>
    </w:r>
  </w:p>
  <w:p>
    <w:pPr>
      <w:pStyle w:val="Header"/>
      <w:spacing w:before="120" w:after="0"/>
      <w:ind w:left="-284" w:right="-284" w:hanging="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uiPriority="9" w:name="heading 1"/>
    <w:lsdException w:semiHidden="1" w:uiPriority="9" w:unhideWhenUsed="1" w:name="heading 2"/>
    <w:lsdException w:semiHidden="1" w:uiPriority="9" w:unhideWhenUsed="1" w:name="heading 3"/>
    <w:lsdException w:semiHidden="1" w:uiPriority="9" w:unhideWhenUsed="1" w:name="heading 4"/>
    <w:lsdException w:semiHidden="1" w:uiPriority="9" w:unhideWhenUsed="1" w:name="heading 5"/>
    <w:lsdException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iPriority="0" w:unhideWhenUsed="1" w:name="header"/>
    <w:lsdException w:semiHidden="1" w:uiPriority="0"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uiPriority="22" w:name="Strong"/>
    <w:lsdException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uiPriority="34" w:name="List Paragraph"/>
    <w:lsdException w:uiPriority="29" w:name="Quote"/>
    <w:lsdException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uiPriority="19" w:name="Subtle Emphasis"/>
    <w:lsdException w:uiPriority="21" w:name="Intense Emphasis"/>
    <w:lsdException w:uiPriority="31" w:name="Subtle Reference"/>
    <w:lsdException w:uiPriority="32" w:name="Intense Reference"/>
    <w:lsdException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9c70b3"/>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en-AU" w:eastAsia="en-AU" w:bidi="ar-SA"/>
    </w:rPr>
  </w:style>
  <w:style w:type="paragraph" w:styleId="Heading1">
    <w:name w:val="Heading 1"/>
    <w:uiPriority w:val="9"/>
    <w:link w:val="Heading1Char"/>
    <w:rsid w:val="00735b89"/>
    <w:basedOn w:val="Normal"/>
    <w:next w:val="Normal"/>
    <w:pPr>
      <w:keepNext/>
      <w:spacing w:before="0" w:after="0"/>
      <w:contextualSpacing/>
      <w:jc w:val="center"/>
      <w:outlineLvl w:val="0"/>
    </w:pPr>
    <w:rPr>
      <w:b/>
    </w:rPr>
  </w:style>
  <w:style w:type="paragraph" w:styleId="Heading2">
    <w:name w:val="Heading 2"/>
    <w:uiPriority w:val="9"/>
    <w:unhideWhenUsed/>
    <w:link w:val="Heading2Char"/>
    <w:rsid w:val="00b625d4"/>
    <w:basedOn w:val="Normal"/>
    <w:next w:val="Normal"/>
    <w:pPr>
      <w:keepNext/>
      <w:tabs>
        <w:tab w:val="left" w:pos="567" w:leader="none"/>
        <w:tab w:val="right" w:pos="907" w:leader="none"/>
        <w:tab w:val="right" w:pos="1474" w:leader="none"/>
      </w:tabs>
      <w:spacing w:before="0" w:after="0"/>
      <w:contextualSpacing/>
      <w:outlineLvl w:val="1"/>
    </w:pPr>
    <w:rPr>
      <w:i/>
    </w:rPr>
  </w:style>
  <w:style w:type="paragraph" w:styleId="Heading3">
    <w:name w:val="Heading 3"/>
    <w:uiPriority w:val="9"/>
    <w:unhideWhenUsed/>
    <w:link w:val="Heading3Char"/>
    <w:rsid w:val="00e97328"/>
    <w:basedOn w:val="Normal"/>
    <w:next w:val="Normal"/>
    <w:pPr>
      <w:keepNext/>
      <w:jc w:val="center"/>
      <w:outlineLvl w:val="2"/>
    </w:pPr>
    <w:rPr>
      <w:rFonts w:ascii="Cambria" w:hAnsi="Cambria"/>
      <w:b/>
      <w:sz w:val="44"/>
      <w:szCs w:val="44"/>
    </w:rPr>
  </w:style>
  <w:style w:type="paragraph" w:styleId="Heading4">
    <w:name w:val="Heading 4"/>
    <w:uiPriority w:val="9"/>
    <w:unhideWhenUsed/>
    <w:link w:val="Heading4Char"/>
    <w:rsid w:val="001307c4"/>
    <w:basedOn w:val="Normal"/>
    <w:next w:val="Normal"/>
    <w:pPr>
      <w:keepNext/>
      <w:keepLines/>
      <w:tabs>
        <w:tab w:val="left" w:pos="567" w:leader="none"/>
        <w:tab w:val="right" w:pos="907" w:leader="none"/>
        <w:tab w:val="right" w:pos="1474" w:leader="none"/>
      </w:tabs>
      <w:outlineLvl w:val="3"/>
    </w:pPr>
    <w:rPr>
      <w:b/>
      <w:i/>
      <w:color w:val="FF0000"/>
    </w:rPr>
  </w:style>
  <w:style w:type="paragraph" w:styleId="Heading5">
    <w:name w:val="Heading 5"/>
    <w:uiPriority w:val="9"/>
    <w:unhideWhenUsed/>
    <w:link w:val="Heading5Char"/>
    <w:rsid w:val="002864a6"/>
    <w:basedOn w:val="Normal"/>
    <w:next w:val="Normal"/>
    <w:pPr>
      <w:keepNext/>
      <w:tabs>
        <w:tab w:val="left" w:pos="567" w:leader="none"/>
        <w:tab w:val="right" w:pos="907" w:leader="none"/>
        <w:tab w:val="right" w:pos="1474" w:leader="none"/>
      </w:tabs>
      <w:spacing w:before="0" w:after="0"/>
      <w:contextualSpacing/>
      <w:jc w:val="center"/>
      <w:outlineLvl w:val="4"/>
    </w:pPr>
    <w:rPr>
      <w:b/>
      <w:color w:val="0070C0"/>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4c5081"/>
    <w:basedOn w:val="DefaultParagraphFont"/>
    <w:rPr>
      <w:rFonts w:ascii="Tahoma" w:hAnsi="Tahoma" w:eastAsia="Times New Roman" w:cs="Tahoma"/>
      <w:sz w:val="16"/>
      <w:szCs w:val="16"/>
      <w:lang w:eastAsia="en-AU"/>
    </w:rPr>
  </w:style>
  <w:style w:type="character" w:styleId="HeaderChar" w:customStyle="1">
    <w:name w:val="Header Char"/>
    <w:uiPriority w:val="99"/>
    <w:link w:val="Header"/>
    <w:rsid w:val="00c83339"/>
    <w:basedOn w:val="DefaultParagraphFont"/>
    <w:rPr>
      <w:rFonts w:ascii="Times New Roman" w:hAnsi="Times New Roman" w:eastAsia="Times New Roman" w:cs="Times New Roman"/>
      <w:sz w:val="24"/>
      <w:szCs w:val="24"/>
      <w:lang w:eastAsia="en-AU"/>
    </w:rPr>
  </w:style>
  <w:style w:type="character" w:styleId="FooterChar" w:customStyle="1">
    <w:name w:val="Footer Char"/>
    <w:uiPriority w:val="99"/>
    <w:semiHidden/>
    <w:link w:val="Footer"/>
    <w:rsid w:val="00c83339"/>
    <w:basedOn w:val="DefaultParagraphFont"/>
    <w:rPr>
      <w:rFonts w:ascii="Times New Roman" w:hAnsi="Times New Roman" w:eastAsia="Times New Roman" w:cs="Times New Roman"/>
      <w:sz w:val="24"/>
      <w:szCs w:val="24"/>
      <w:lang w:eastAsia="en-AU"/>
    </w:rPr>
  </w:style>
  <w:style w:type="character" w:styleId="BodyTextIndentChar" w:customStyle="1">
    <w:name w:val="Body Text Indent Char"/>
    <w:uiPriority w:val="99"/>
    <w:link w:val="BodyTextIndent"/>
    <w:rsid w:val="000b50e1"/>
    <w:basedOn w:val="DefaultParagraphFont"/>
    <w:rPr>
      <w:rFonts w:ascii="Times New Roman" w:hAnsi="Times New Roman" w:eastAsia="Times New Roman" w:cs="Times New Roman"/>
      <w:sz w:val="24"/>
      <w:szCs w:val="24"/>
      <w:lang w:eastAsia="en-AU"/>
    </w:rPr>
  </w:style>
  <w:style w:type="character" w:styleId="TitleChar" w:customStyle="1">
    <w:name w:val="Title Char"/>
    <w:uiPriority w:val="10"/>
    <w:link w:val="Title"/>
    <w:rsid w:val="002378bd"/>
    <w:basedOn w:val="DefaultParagraphFont"/>
    <w:rPr>
      <w:rFonts w:ascii="Times New Roman" w:hAnsi="Times New Roman" w:eastAsia="Times New Roman" w:cs="Times New Roman"/>
      <w:b/>
      <w:sz w:val="24"/>
      <w:szCs w:val="24"/>
      <w:lang w:eastAsia="en-AU"/>
    </w:rPr>
  </w:style>
  <w:style w:type="character" w:styleId="Heading1Char" w:customStyle="1">
    <w:name w:val="Heading 1 Char"/>
    <w:uiPriority w:val="9"/>
    <w:link w:val="Heading1"/>
    <w:rsid w:val="00735b89"/>
    <w:basedOn w:val="DefaultParagraphFont"/>
    <w:rPr>
      <w:rFonts w:ascii="Times New Roman" w:hAnsi="Times New Roman" w:eastAsia="Times New Roman" w:cs="Times New Roman"/>
      <w:b/>
      <w:sz w:val="24"/>
      <w:szCs w:val="24"/>
      <w:lang w:eastAsia="en-AU"/>
    </w:rPr>
  </w:style>
  <w:style w:type="character" w:styleId="BodyTextIndent2Char" w:customStyle="1">
    <w:name w:val="Body Text Indent 2 Char"/>
    <w:uiPriority w:val="99"/>
    <w:link w:val="BodyTextIndent2"/>
    <w:rsid w:val="00874a8d"/>
    <w:basedOn w:val="DefaultParagraphFont"/>
    <w:rPr>
      <w:rFonts w:ascii="Times New Roman" w:hAnsi="Times New Roman" w:eastAsia="Times New Roman" w:cs="Times New Roman"/>
      <w:sz w:val="24"/>
      <w:szCs w:val="24"/>
      <w:lang w:eastAsia="en-AU"/>
    </w:rPr>
  </w:style>
  <w:style w:type="character" w:styleId="FootnoteTextChar" w:customStyle="1">
    <w:name w:val="Footnote Text Char"/>
    <w:uiPriority w:val="99"/>
    <w:semiHidden/>
    <w:link w:val="FootnoteText"/>
    <w:rsid w:val="00e90cf9"/>
    <w:basedOn w:val="DefaultParagraphFont"/>
    <w:rPr>
      <w:rFonts w:ascii="Times New Roman" w:hAnsi="Times New Roman" w:eastAsia="Calibri" w:cs="Times New Roman"/>
      <w:sz w:val="20"/>
      <w:lang w:val="en-GB" w:eastAsia="en-GB"/>
    </w:rPr>
  </w:style>
  <w:style w:type="character" w:styleId="Footnotereference">
    <w:name w:val="footnote reference"/>
    <w:uiPriority w:val="99"/>
    <w:unhideWhenUsed/>
    <w:rsid w:val="00e90cf9"/>
    <w:rPr>
      <w:vertAlign w:val="superscript"/>
    </w:rPr>
  </w:style>
  <w:style w:type="character" w:styleId="BodyTextIndent3Char" w:customStyle="1">
    <w:name w:val="Body Text Indent 3 Char"/>
    <w:uiPriority w:val="99"/>
    <w:link w:val="BodyTextIndent3"/>
    <w:rsid w:val="001e1a09"/>
    <w:basedOn w:val="DefaultParagraphFont"/>
    <w:rPr>
      <w:rFonts w:ascii="Times New Roman" w:hAnsi="Times New Roman" w:eastAsia="Times New Roman" w:cs="Times New Roman"/>
      <w:b/>
      <w:sz w:val="24"/>
      <w:szCs w:val="24"/>
      <w:lang w:eastAsia="en-AU"/>
    </w:rPr>
  </w:style>
  <w:style w:type="character" w:styleId="Heading2Char" w:customStyle="1">
    <w:name w:val="Heading 2 Char"/>
    <w:uiPriority w:val="9"/>
    <w:link w:val="Heading2"/>
    <w:rsid w:val="00b625d4"/>
    <w:basedOn w:val="DefaultParagraphFont"/>
    <w:rPr>
      <w:rFonts w:ascii="Times New Roman" w:hAnsi="Times New Roman" w:eastAsia="Times New Roman" w:cs="Times New Roman"/>
      <w:i/>
      <w:sz w:val="24"/>
      <w:szCs w:val="24"/>
      <w:lang w:eastAsia="en-AU"/>
    </w:rPr>
  </w:style>
  <w:style w:type="character" w:styleId="BodyTextChar" w:customStyle="1">
    <w:name w:val="Body Text Char"/>
    <w:uiPriority w:val="99"/>
    <w:link w:val="BodyText"/>
    <w:rsid w:val="006b6076"/>
    <w:basedOn w:val="DefaultParagraphFont"/>
    <w:rPr>
      <w:rFonts w:ascii="Times New Roman" w:hAnsi="Times New Roman" w:eastAsia="Times New Roman" w:cs="Times New Roman"/>
      <w:sz w:val="24"/>
      <w:szCs w:val="24"/>
      <w:shd w:fill="F2DBDB" w:val="clear"/>
      <w:lang w:eastAsia="en-AU"/>
    </w:rPr>
  </w:style>
  <w:style w:type="character" w:styleId="BodyText2Char" w:customStyle="1">
    <w:name w:val="Body Text 2 Char"/>
    <w:uiPriority w:val="99"/>
    <w:link w:val="BodyText2"/>
    <w:rsid w:val="00ac5121"/>
    <w:basedOn w:val="DefaultParagraphFont"/>
    <w:rPr>
      <w:rFonts w:ascii="Times New Roman" w:hAnsi="Times New Roman" w:eastAsia="Times New Roman" w:cs="Times New Roman"/>
      <w:b/>
      <w:sz w:val="24"/>
      <w:szCs w:val="24"/>
      <w:lang w:eastAsia="en-AU"/>
    </w:rPr>
  </w:style>
  <w:style w:type="character" w:styleId="Heading3Char" w:customStyle="1">
    <w:name w:val="Heading 3 Char"/>
    <w:uiPriority w:val="9"/>
    <w:link w:val="Heading3"/>
    <w:rsid w:val="00e97328"/>
    <w:basedOn w:val="DefaultParagraphFont"/>
    <w:rPr>
      <w:rFonts w:ascii="Cambria" w:hAnsi="Cambria" w:eastAsia="Times New Roman" w:cs="Times New Roman"/>
      <w:b/>
      <w:sz w:val="44"/>
      <w:szCs w:val="44"/>
      <w:lang w:eastAsia="en-AU"/>
    </w:rPr>
  </w:style>
  <w:style w:type="character" w:styleId="BodyText3Char" w:customStyle="1">
    <w:name w:val="Body Text 3 Char"/>
    <w:uiPriority w:val="99"/>
    <w:semiHidden/>
    <w:link w:val="BodyText3"/>
    <w:rsid w:val="003f6f8f"/>
    <w:basedOn w:val="DefaultParagraphFont"/>
    <w:rPr>
      <w:rFonts w:ascii="Times New Roman" w:hAnsi="Times New Roman" w:cs="Times New Roman"/>
      <w:color w:val="000000"/>
      <w:sz w:val="16"/>
      <w:szCs w:val="16"/>
    </w:rPr>
  </w:style>
  <w:style w:type="character" w:styleId="PlainTextChar" w:customStyle="1">
    <w:name w:val="Plain Text Char"/>
    <w:uiPriority w:val="99"/>
    <w:link w:val="PlainText"/>
    <w:rsid w:val="003f6f8f"/>
    <w:basedOn w:val="DefaultParagraphFont"/>
    <w:rPr>
      <w:rFonts w:ascii="Calibri" w:hAnsi="Calibri" w:cs="Times New Roman"/>
      <w:color w:val="000000"/>
      <w:sz w:val="24"/>
      <w:szCs w:val="21"/>
    </w:rPr>
  </w:style>
  <w:style w:type="character" w:styleId="Heading4Char" w:customStyle="1">
    <w:name w:val="Heading 4 Char"/>
    <w:uiPriority w:val="9"/>
    <w:link w:val="Heading4"/>
    <w:rsid w:val="001307c4"/>
    <w:basedOn w:val="DefaultParagraphFont"/>
    <w:rPr>
      <w:rFonts w:ascii="Times New Roman" w:hAnsi="Times New Roman" w:eastAsia="Times New Roman" w:cs="Times New Roman"/>
      <w:b/>
      <w:i/>
      <w:color w:val="FF0000"/>
      <w:sz w:val="24"/>
      <w:szCs w:val="24"/>
      <w:lang w:eastAsia="en-AU"/>
    </w:rPr>
  </w:style>
  <w:style w:type="character" w:styleId="IntenseReference">
    <w:name w:val="Intense Reference"/>
    <w:uiPriority w:val="32"/>
    <w:rsid w:val="00ef4a93"/>
    <w:basedOn w:val="DefaultParagraphFont"/>
    <w:rPr>
      <w:b/>
      <w:bCs/>
      <w:smallCaps/>
      <w:color w:val="C0504D"/>
      <w:spacing w:val="5"/>
      <w:u w:val="single"/>
    </w:rPr>
  </w:style>
  <w:style w:type="character" w:styleId="Heading5Char" w:customStyle="1">
    <w:name w:val="Heading 5 Char"/>
    <w:uiPriority w:val="9"/>
    <w:link w:val="Heading5"/>
    <w:rsid w:val="002864a6"/>
    <w:basedOn w:val="DefaultParagraphFont"/>
    <w:rPr>
      <w:rFonts w:ascii="Times New Roman" w:hAnsi="Times New Roman" w:eastAsia="Times New Roman" w:cs="Times New Roman"/>
      <w:b/>
      <w:color w:val="0070C0"/>
      <w:sz w:val="24"/>
      <w:szCs w:val="24"/>
      <w:lang w:eastAsia="en-AU"/>
    </w:rPr>
  </w:style>
  <w:style w:type="character" w:styleId="SubtitleChar" w:customStyle="1">
    <w:name w:val="Subtitle Char"/>
    <w:uiPriority w:val="11"/>
    <w:link w:val="Subtitle"/>
    <w:rsid w:val="00ab39fa"/>
    <w:basedOn w:val="DefaultParagraphFont"/>
    <w:rPr>
      <w:rFonts w:ascii="Cambria" w:hAnsi="Cambria" w:eastAsia="Times New Roman" w:cs="Times New Roman"/>
      <w:b/>
      <w:sz w:val="36"/>
      <w:szCs w:val="36"/>
      <w:lang w:eastAsia="en-AU"/>
    </w:rPr>
  </w:style>
  <w:style w:type="character" w:styleId="CommentTextChar" w:customStyle="1">
    <w:name w:val="Comment Text Char"/>
    <w:uiPriority w:val="99"/>
    <w:semiHidden/>
    <w:link w:val="CommentText"/>
    <w:rsid w:val="00e86589"/>
    <w:basedOn w:val="DefaultParagraphFont"/>
    <w:rPr>
      <w:rFonts w:ascii="Times New Roman" w:hAnsi="Times New Roman" w:eastAsia="Times New Roman" w:cs="Times New Roman"/>
      <w:sz w:val="20"/>
      <w:szCs w:val="20"/>
      <w:lang w:eastAsia="en-AU"/>
    </w:rPr>
  </w:style>
  <w:style w:type="character" w:styleId="ListLabel1">
    <w:name w:val="ListLabel 1"/>
    <w:rPr>
      <w:rFonts w:cs="Courier New"/>
    </w:rPr>
  </w:style>
  <w:style w:type="character" w:styleId="FootnoteAnchor">
    <w:name w:val="Footnote Anchor"/>
    <w:rPr>
      <w:vertAlign w:val="superscript"/>
    </w:rPr>
  </w:style>
  <w:style w:type="character" w:styleId="EndnoteAnchor">
    <w:name w:val="Endnote Anchor"/>
    <w:rPr>
      <w:vertAlign w:val="superscript"/>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rFonts w:cs="Wingdings"/>
    </w:rPr>
  </w:style>
  <w:style w:type="character" w:styleId="FootnoteCharacters">
    <w:name w:val="Footnote Characters"/>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6b6076"/>
    <w:basedOn w:val="Normal"/>
    <w:pPr>
      <w:shd w:fill="F2DBDB" w:val="clear"/>
      <w:tabs>
        <w:tab w:val="left" w:pos="567" w:leader="none"/>
        <w:tab w:val="right" w:pos="907" w:leader="none"/>
        <w:tab w:val="right" w:pos="1474" w:leader="none"/>
      </w:tabs>
      <w:spacing w:lineRule="auto" w:line="288" w:before="0" w:after="0"/>
      <w:contextualSpacing/>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rsid w:val="009e5694"/>
    <w:basedOn w:val="Normal"/>
    <w:pPr>
      <w:spacing w:before="0" w:after="0"/>
      <w:ind w:left="720" w:right="0" w:hanging="0"/>
      <w:contextualSpacing/>
    </w:pPr>
    <w:rPr/>
  </w:style>
  <w:style w:type="paragraph" w:styleId="BalloonText">
    <w:name w:val="Balloon Text"/>
    <w:uiPriority w:val="99"/>
    <w:semiHidden/>
    <w:unhideWhenUsed/>
    <w:link w:val="BalloonTextChar"/>
    <w:rsid w:val="004c5081"/>
    <w:basedOn w:val="Normal"/>
    <w:pPr/>
    <w:rPr>
      <w:rFonts w:ascii="Tahoma" w:hAnsi="Tahoma" w:cs="Tahoma"/>
      <w:sz w:val="16"/>
      <w:szCs w:val="16"/>
    </w:rPr>
  </w:style>
  <w:style w:type="paragraph" w:styleId="Header">
    <w:name w:val="Header"/>
    <w:unhideWhenUsed/>
    <w:link w:val="HeaderChar"/>
    <w:rsid w:val="00c83339"/>
    <w:basedOn w:val="Normal"/>
    <w:pPr>
      <w:tabs>
        <w:tab w:val="center" w:pos="4513" w:leader="none"/>
        <w:tab w:val="right" w:pos="9026" w:leader="none"/>
      </w:tabs>
    </w:pPr>
    <w:rPr/>
  </w:style>
  <w:style w:type="paragraph" w:styleId="Footer">
    <w:name w:val="Footer"/>
    <w:unhideWhenUsed/>
    <w:link w:val="FooterChar"/>
    <w:rsid w:val="00c83339"/>
    <w:basedOn w:val="Normal"/>
    <w:pPr>
      <w:tabs>
        <w:tab w:val="center" w:pos="4513" w:leader="none"/>
        <w:tab w:val="right" w:pos="9026" w:leader="none"/>
      </w:tabs>
    </w:pPr>
    <w:rPr/>
  </w:style>
  <w:style w:type="paragraph" w:styleId="TextBodyIndent">
    <w:name w:val="Text Body Indent"/>
    <w:uiPriority w:val="99"/>
    <w:unhideWhenUsed/>
    <w:link w:val="BodyTextIndentChar"/>
    <w:rsid w:val="000b50e1"/>
    <w:basedOn w:val="Normal"/>
    <w:pPr>
      <w:tabs>
        <w:tab w:val="left" w:pos="567" w:leader="none"/>
        <w:tab w:val="right" w:pos="907" w:leader="none"/>
        <w:tab w:val="right" w:pos="1474" w:leader="none"/>
      </w:tabs>
      <w:spacing w:before="0" w:after="0"/>
      <w:ind w:left="1134" w:right="0" w:hanging="1134"/>
      <w:contextualSpacing/>
    </w:pPr>
    <w:rPr/>
  </w:style>
  <w:style w:type="paragraph" w:styleId="Title">
    <w:name w:val="Title"/>
    <w:uiPriority w:val="10"/>
    <w:link w:val="TitleChar"/>
    <w:rsid w:val="002378bd"/>
    <w:basedOn w:val="Normal"/>
    <w:next w:val="Normal"/>
    <w:pPr>
      <w:spacing w:before="0" w:after="0"/>
      <w:contextualSpacing/>
      <w:jc w:val="center"/>
    </w:pPr>
    <w:rPr>
      <w:b/>
    </w:rPr>
  </w:style>
  <w:style w:type="paragraph" w:styleId="BodyTextIndent2">
    <w:name w:val="Body Text Indent 2"/>
    <w:uiPriority w:val="99"/>
    <w:unhideWhenUsed/>
    <w:link w:val="BodyTextIndent2Char"/>
    <w:rsid w:val="00874a8d"/>
    <w:basedOn w:val="Normal"/>
    <w:pPr>
      <w:tabs>
        <w:tab w:val="left" w:pos="567" w:leader="none"/>
        <w:tab w:val="right" w:pos="907" w:leader="none"/>
        <w:tab w:val="left" w:pos="1134" w:leader="none"/>
        <w:tab w:val="right" w:pos="1474" w:leader="none"/>
      </w:tabs>
      <w:spacing w:before="0" w:after="0"/>
      <w:ind w:left="907" w:right="0" w:hanging="907"/>
      <w:contextualSpacing/>
    </w:pPr>
    <w:rPr/>
  </w:style>
  <w:style w:type="paragraph" w:styleId="Footnotetext">
    <w:name w:val="footnote text"/>
    <w:uiPriority w:val="99"/>
    <w:semiHidden/>
    <w:unhideWhenUsed/>
    <w:link w:val="FootnoteTextChar"/>
    <w:rsid w:val="00e90cf9"/>
    <w:basedOn w:val="Normal"/>
    <w:pPr>
      <w:ind w:left="0" w:right="0" w:firstLine="720"/>
      <w:jc w:val="both"/>
    </w:pPr>
    <w:rPr>
      <w:rFonts w:eastAsia="Calibri"/>
      <w:sz w:val="20"/>
      <w:szCs w:val="22"/>
      <w:lang w:val="en-GB" w:eastAsia="en-GB"/>
    </w:rPr>
  </w:style>
  <w:style w:type="paragraph" w:styleId="BodyTextIndent3">
    <w:name w:val="Body Text Indent 3"/>
    <w:uiPriority w:val="99"/>
    <w:unhideWhenUsed/>
    <w:link w:val="BodyTextIndent3Char"/>
    <w:rsid w:val="001e1a09"/>
    <w:basedOn w:val="Normal"/>
    <w:pPr>
      <w:ind w:left="425" w:right="0" w:hanging="425"/>
    </w:pPr>
    <w:rPr>
      <w:b/>
    </w:rPr>
  </w:style>
  <w:style w:type="paragraph" w:styleId="BodyText2">
    <w:name w:val="Body Text 2"/>
    <w:uiPriority w:val="99"/>
    <w:unhideWhenUsed/>
    <w:link w:val="BodyText2Char"/>
    <w:rsid w:val="00ac5121"/>
    <w:basedOn w:val="Normal"/>
    <w:pPr>
      <w:tabs>
        <w:tab w:val="left" w:pos="567" w:leader="none"/>
        <w:tab w:val="right" w:pos="907" w:leader="none"/>
        <w:tab w:val="right" w:pos="1474" w:leader="none"/>
      </w:tabs>
      <w:spacing w:before="0" w:after="0"/>
      <w:contextualSpacing/>
    </w:pPr>
    <w:rPr>
      <w:b/>
    </w:rPr>
  </w:style>
  <w:style w:type="paragraph" w:styleId="BodyText3">
    <w:name w:val="Body Text 3"/>
    <w:uiPriority w:val="99"/>
    <w:semiHidden/>
    <w:unhideWhenUsed/>
    <w:link w:val="BodyText3Char"/>
    <w:rsid w:val="003f6f8f"/>
    <w:basedOn w:val="Normal"/>
    <w:pPr>
      <w:spacing w:before="0" w:after="120"/>
      <w:contextualSpacing/>
    </w:pPr>
    <w:rPr>
      <w:rFonts w:cs="Calibri"/>
      <w:color w:val="000000"/>
      <w:sz w:val="16"/>
      <w:szCs w:val="16"/>
      <w:lang w:eastAsia="en-US"/>
    </w:rPr>
  </w:style>
  <w:style w:type="paragraph" w:styleId="PlainText">
    <w:name w:val="Plain Text"/>
    <w:uiPriority w:val="99"/>
    <w:unhideWhenUsed/>
    <w:link w:val="PlainTextChar"/>
    <w:rsid w:val="003f6f8f"/>
    <w:basedOn w:val="Normal"/>
    <w:pPr>
      <w:spacing w:before="0" w:after="0"/>
      <w:contextualSpacing/>
    </w:pPr>
    <w:rPr>
      <w:rFonts w:ascii="Calibri" w:hAnsi="Calibri" w:cs="Calibri"/>
      <w:color w:val="000000"/>
      <w:szCs w:val="21"/>
      <w:lang w:eastAsia="en-US"/>
    </w:rPr>
  </w:style>
  <w:style w:type="paragraph" w:styleId="Default" w:customStyle="1">
    <w:name w:val="Default"/>
    <w:uiPriority w:val="99"/>
    <w:rsid w:val="002b6bbf"/>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Subtitle">
    <w:name w:val="Subtitle"/>
    <w:uiPriority w:val="11"/>
    <w:link w:val="SubtitleChar"/>
    <w:rsid w:val="00ab39fa"/>
    <w:basedOn w:val="Normal"/>
    <w:next w:val="Normal"/>
    <w:pPr>
      <w:jc w:val="center"/>
    </w:pPr>
    <w:rPr>
      <w:rFonts w:ascii="Cambria" w:hAnsi="Cambria"/>
      <w:b/>
      <w:sz w:val="36"/>
      <w:szCs w:val="36"/>
    </w:rPr>
  </w:style>
  <w:style w:type="paragraph" w:styleId="Annotationtext">
    <w:name w:val="annotation text"/>
    <w:uiPriority w:val="99"/>
    <w:semiHidden/>
    <w:unhideWhenUsed/>
    <w:link w:val="CommentTextChar"/>
    <w:rsid w:val="00e86589"/>
    <w:basedOn w:val="Normal"/>
    <w:pPr/>
    <w:rPr>
      <w:sz w:val="20"/>
      <w:szCs w:val="20"/>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b513a9"/>
    <w:pPr>
      <w:spacing w:line="240" w:after="0" w:lineRule="auto"/>
    </w:pPr>
    <w:rPr>
      <w:sz w:val="24"/>
      <w:szCs w:val="24"/>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9A97-B43B-448F-8419-653B112F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2016-06-09T12:46:11Z</dcterms:created>
  <dc:language>en-GB</dc:language>
  <cp:revision>1</cp:revision>
</cp:coreProperties>
</file>